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架体工程劳务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zyjzfy20220006</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架体工程劳务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zyjzfy20220006</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架体工程劳务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全部架体工程劳务。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9</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rPr>
        <w:t>内、外脚手架搭设和拆除，临边防护、门窗洞口防护、楼梯防护、卸料平台、施工用马道安装拆除，安全通道、脚手管、扣件，槽钢、工字钢等材料装卸车，堆放场地及操作面清理</w:t>
      </w:r>
      <w:r>
        <w:rPr>
          <w:rFonts w:hint="eastAsia"/>
          <w:sz w:val="24"/>
          <w:lang w:val="en-US" w:eastAsia="zh-CN"/>
        </w:rPr>
        <w:t>等。</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包含小料及工具：线绳、安全带及自用小型电动工具。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基础至主体结构3层架体搭设完毕后，拨付总价的10%，四至九层（包括屋面花架及机房等）拨付总价的30%，待架体及防护拆除后拨付总价的20%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架体</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单价</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0.00以下人民币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0.00以上人民币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hint="eastAsia"/>
          <w:spacing w:val="0"/>
          <w:w w:val="100"/>
          <w:u w:val="single"/>
          <w:lang w:eastAsia="zh-CN"/>
        </w:rPr>
        <w:t>，</w:t>
      </w:r>
      <w:r>
        <w:rPr>
          <w:rFonts w:hint="eastAsia"/>
          <w:spacing w:val="0"/>
          <w:w w:val="100"/>
          <w:u w:val="single"/>
          <w:lang w:val="en-US" w:eastAsia="zh-CN"/>
        </w:rPr>
        <w:t>自治区安全文明标准化示范工地</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我方承诺在收到中标通知书后，在中标通知书规定的期限内与你方签</w:t>
      </w:r>
      <w:bookmarkStart w:id="15" w:name="_GoBack"/>
      <w:bookmarkEnd w:id="15"/>
      <w:r>
        <w:rPr>
          <w:rFonts w:ascii="宋体" w:hAnsi="宋体" w:eastAsia="宋体"/>
          <w:spacing w:val="0"/>
          <w:w w:val="100"/>
          <w:sz w:val="24"/>
        </w:rPr>
        <w:t xml:space="preserve">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承诺书"/>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架体</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架体工程劳务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目架体工程劳务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目架体工程劳务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C11233A"/>
    <w:rsid w:val="1E4608BC"/>
    <w:rsid w:val="2B4F1F85"/>
    <w:rsid w:val="3AE50ED3"/>
    <w:rsid w:val="400E0E9A"/>
    <w:rsid w:val="48104AB0"/>
    <w:rsid w:val="75113C1C"/>
    <w:rsid w:val="75C457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2022-03-18T02:52:55Z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