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rFonts w:hint="default"/>
          <w:b/>
          <w:bCs/>
          <w:sz w:val="44"/>
          <w:szCs w:val="44"/>
          <w:highlight w:val="none"/>
          <w:lang w:val="en-US" w:eastAsia="zh-CN"/>
        </w:rPr>
      </w:pPr>
      <w:r>
        <w:rPr>
          <w:rFonts w:hint="eastAsia"/>
          <w:b/>
          <w:bCs/>
          <w:sz w:val="44"/>
          <w:szCs w:val="44"/>
          <w:highlight w:val="none"/>
          <w:lang w:val="en-US" w:eastAsia="zh-CN"/>
        </w:rPr>
        <w:t>赤峰市红山区妇幼保健院迁建</w:t>
      </w:r>
      <w:r>
        <w:rPr>
          <w:rFonts w:hint="eastAsia"/>
          <w:b/>
          <w:bCs/>
          <w:sz w:val="44"/>
          <w:szCs w:val="44"/>
          <w:highlight w:val="none"/>
          <w:lang w:val="en-US"/>
        </w:rPr>
        <w:t>项目</w:t>
      </w:r>
      <w:r>
        <w:rPr>
          <w:rFonts w:hint="eastAsia"/>
          <w:b/>
          <w:bCs/>
          <w:sz w:val="44"/>
          <w:szCs w:val="44"/>
          <w:highlight w:val="none"/>
          <w:lang w:val="en-US" w:eastAsia="zh-CN"/>
        </w:rPr>
        <w:t>商品混凝土采购</w:t>
      </w:r>
    </w:p>
    <w:p>
      <w:pPr>
        <w:pStyle w:val="9"/>
        <w:rPr>
          <w:b/>
          <w:bCs/>
          <w:sz w:val="44"/>
          <w:szCs w:val="44"/>
          <w:highlight w:val="none"/>
        </w:rPr>
      </w:pPr>
    </w:p>
    <w:p>
      <w:pPr>
        <w:pStyle w:val="9"/>
        <w:ind w:firstLine="1325" w:firstLineChars="300"/>
        <w:rPr>
          <w:rFonts w:hint="eastAsia"/>
          <w:b/>
          <w:bCs/>
          <w:sz w:val="44"/>
          <w:szCs w:val="44"/>
          <w:highlight w:val="none"/>
          <w:lang w:val="en-US" w:eastAsia="zh-CN"/>
        </w:rPr>
      </w:pPr>
      <w:r>
        <w:rPr>
          <w:b/>
          <w:bCs/>
          <w:sz w:val="44"/>
          <w:szCs w:val="44"/>
          <w:highlight w:val="none"/>
        </w:rPr>
        <w:t>招标项目编号：</w:t>
      </w:r>
      <w:r>
        <w:rPr>
          <w:rFonts w:hint="eastAsia"/>
          <w:b/>
          <w:bCs/>
          <w:sz w:val="44"/>
          <w:szCs w:val="44"/>
          <w:highlight w:val="none"/>
          <w:lang w:val="en-US" w:eastAsia="zh-CN"/>
        </w:rPr>
        <w:t>ZYJZFYBJY</w:t>
      </w:r>
      <w:r>
        <w:rPr>
          <w:rFonts w:hint="eastAsia"/>
          <w:b/>
          <w:bCs/>
          <w:sz w:val="44"/>
          <w:szCs w:val="44"/>
          <w:highlight w:val="none"/>
          <w:lang w:val="en-US"/>
        </w:rPr>
        <w:t>2022000</w:t>
      </w:r>
      <w:r>
        <w:rPr>
          <w:rFonts w:hint="eastAsia"/>
          <w:b/>
          <w:bCs/>
          <w:sz w:val="44"/>
          <w:szCs w:val="44"/>
          <w:highlight w:val="none"/>
          <w:lang w:val="en-US" w:eastAsia="zh-CN"/>
        </w:rPr>
        <w:t>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四</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28"/>
          <w:szCs w:val="28"/>
        </w:rPr>
      </w:pPr>
      <w:r>
        <w:rPr>
          <w:rFonts w:hint="eastAsia" w:cs="宋体"/>
          <w:b/>
          <w:sz w:val="36"/>
          <w:szCs w:val="36"/>
          <w:lang w:val="en-US" w:eastAsia="zh-CN"/>
        </w:rPr>
        <w:t>赤峰市红山区妇幼保健院迁建</w:t>
      </w:r>
      <w:r>
        <w:rPr>
          <w:rFonts w:hint="eastAsia" w:ascii="宋体" w:hAnsi="宋体" w:eastAsia="宋体" w:cs="宋体"/>
          <w:b/>
          <w:sz w:val="36"/>
          <w:szCs w:val="36"/>
          <w:lang w:val="en-US"/>
        </w:rPr>
        <w:t>项目</w:t>
      </w:r>
      <w:r>
        <w:rPr>
          <w:rFonts w:hint="eastAsia" w:cs="宋体"/>
          <w:b/>
          <w:sz w:val="36"/>
          <w:szCs w:val="36"/>
          <w:lang w:val="en-US" w:eastAsia="zh-CN"/>
        </w:rPr>
        <w:t>商品混凝土采购</w:t>
      </w: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cs="宋体"/>
          <w:b/>
          <w:bCs/>
          <w:lang w:val="en-US" w:eastAsia="zh-CN"/>
        </w:rPr>
        <w:t>FYBJY</w:t>
      </w:r>
      <w:r>
        <w:rPr>
          <w:rFonts w:hint="eastAsia" w:ascii="宋体" w:hAnsi="宋体" w:eastAsia="宋体" w:cs="宋体"/>
          <w:b/>
          <w:bCs/>
          <w:spacing w:val="14"/>
          <w:w w:val="85"/>
          <w:lang w:val="en-US"/>
        </w:rPr>
        <w:t>2022000</w:t>
      </w:r>
      <w:r>
        <w:rPr>
          <w:rFonts w:hint="eastAsia" w:cs="宋体"/>
          <w:b/>
          <w:bCs/>
          <w:spacing w:val="14"/>
          <w:w w:val="85"/>
          <w:lang w:val="en-US" w:eastAsia="zh-CN"/>
        </w:rPr>
        <w:t>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赤峰市红山区妇幼保建院迁建</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eastAsia="zh-CN"/>
        </w:rPr>
        <w:t>商品混凝土采购</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r>
        <w:rPr>
          <w:rFonts w:hint="eastAsia"/>
          <w:sz w:val="28"/>
          <w:szCs w:val="28"/>
          <w:lang w:val="en-US" w:eastAsia="zh-CN"/>
        </w:rPr>
        <w:t>商品混凝土采购</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：赤峰市红山区</w:t>
      </w:r>
      <w:r>
        <w:rPr>
          <w:rFonts w:hint="eastAsia"/>
          <w:sz w:val="28"/>
          <w:szCs w:val="28"/>
          <w:lang w:val="en-US" w:eastAsia="zh-CN"/>
        </w:rPr>
        <w:t>新地组团F07-04和F07-05块地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sz w:val="28"/>
          <w:szCs w:val="28"/>
        </w:rPr>
        <w:t xml:space="preserve">工程规模：项目总建筑面积 </w:t>
      </w:r>
      <w:r>
        <w:rPr>
          <w:rFonts w:hint="eastAsia"/>
          <w:sz w:val="28"/>
          <w:szCs w:val="28"/>
          <w:lang w:val="en-US" w:eastAsia="zh-CN"/>
        </w:rPr>
        <w:t>24900</w:t>
      </w:r>
      <w:r>
        <w:rPr>
          <w:rFonts w:hint="eastAsia"/>
          <w:sz w:val="28"/>
          <w:szCs w:val="28"/>
        </w:rPr>
        <w:t xml:space="preserve">平方米，其中：地上建筑面积 </w:t>
      </w:r>
      <w:r>
        <w:rPr>
          <w:rFonts w:hint="eastAsia"/>
          <w:sz w:val="28"/>
          <w:szCs w:val="28"/>
          <w:lang w:val="en-US" w:eastAsia="zh-CN"/>
        </w:rPr>
        <w:t>16158.4</w:t>
      </w:r>
      <w:r>
        <w:rPr>
          <w:rFonts w:hint="eastAsia"/>
          <w:sz w:val="28"/>
          <w:szCs w:val="28"/>
        </w:rPr>
        <w:t xml:space="preserve">平方米，地下停车场 </w:t>
      </w:r>
      <w:r>
        <w:rPr>
          <w:rFonts w:hint="eastAsia"/>
          <w:sz w:val="28"/>
          <w:szCs w:val="28"/>
          <w:lang w:val="en-US" w:eastAsia="zh-CN"/>
        </w:rPr>
        <w:t>8741.6</w:t>
      </w:r>
      <w:r>
        <w:rPr>
          <w:rFonts w:hint="eastAsia"/>
          <w:sz w:val="28"/>
          <w:szCs w:val="28"/>
        </w:rPr>
        <w:t>平方米。</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eastAsia="zh-CN"/>
        </w:rPr>
        <w:t>商品混凝土采购</w:t>
      </w:r>
      <w:r>
        <w:rPr>
          <w:rFonts w:hint="eastAsia"/>
          <w:sz w:val="28"/>
          <w:szCs w:val="28"/>
          <w:lang w:val="en-US"/>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eastAsia="zh-CN"/>
        </w:rPr>
        <w:t>计划</w:t>
      </w:r>
      <w:r>
        <w:rPr>
          <w:rFonts w:hint="eastAsia"/>
          <w:sz w:val="28"/>
          <w:szCs w:val="28"/>
        </w:rPr>
        <w:t xml:space="preserve">工期：2023 年 </w:t>
      </w:r>
      <w:r>
        <w:rPr>
          <w:rFonts w:hint="eastAsia"/>
          <w:sz w:val="28"/>
          <w:szCs w:val="28"/>
          <w:lang w:val="en-US" w:eastAsia="zh-CN"/>
        </w:rPr>
        <w:t>6</w:t>
      </w:r>
      <w:r>
        <w:rPr>
          <w:rFonts w:hint="eastAsia"/>
          <w:sz w:val="28"/>
          <w:szCs w:val="28"/>
        </w:rPr>
        <w:t>月 30 日前</w:t>
      </w:r>
      <w:r>
        <w:rPr>
          <w:rFonts w:hint="eastAsia"/>
          <w:sz w:val="28"/>
          <w:szCs w:val="28"/>
          <w:lang w:val="en-US"/>
        </w:rPr>
        <w:t>竣工</w:t>
      </w:r>
      <w:r>
        <w:rPr>
          <w:rFonts w:hint="eastAsia"/>
          <w:sz w:val="28"/>
          <w:szCs w:val="28"/>
        </w:rPr>
        <w:t>（具体开工日期以合同签订日期为准）</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混凝土配合比符合国家技术标准要求，到场时塌落度应符合现场浇筑要求。</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本项目要求投标人须在人员、设备、资金等方面具有相应的施工能力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4 </w:t>
      </w:r>
      <w:r>
        <w:rPr>
          <w:rFonts w:hint="eastAsia"/>
          <w:sz w:val="28"/>
          <w:szCs w:val="28"/>
        </w:rPr>
        <w:t xml:space="preserve">月 </w:t>
      </w:r>
      <w:r>
        <w:rPr>
          <w:rFonts w:hint="eastAsia"/>
          <w:sz w:val="28"/>
          <w:szCs w:val="28"/>
          <w:lang w:val="en-US" w:eastAsia="zh-CN"/>
        </w:rPr>
        <w:t>16</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lang w:val="en-US" w:eastAsia="zh-CN"/>
        </w:rPr>
      </w:pPr>
    </w:p>
    <w:p/>
    <w:p/>
    <w:p/>
    <w:p/>
    <w:p/>
    <w:p/>
    <w:p/>
    <w:p/>
    <w:p/>
    <w:p/>
    <w:p/>
    <w:p/>
    <w:p/>
    <w:p/>
    <w:p/>
    <w:p/>
    <w:p/>
    <w:p/>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bookmarkStart w:id="11" w:name="_GoBack"/>
            <w:bookmarkEnd w:id="11"/>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cs="宋体"/>
                <w:spacing w:val="-1"/>
                <w:sz w:val="24"/>
                <w:szCs w:val="24"/>
                <w:lang w:val="en-US" w:eastAsia="zh-CN"/>
              </w:rPr>
              <w:t>赤峰市红山区妇幼保健院迁建</w:t>
            </w:r>
            <w:r>
              <w:rPr>
                <w:rFonts w:hint="eastAsia" w:ascii="宋体" w:hAnsi="宋体" w:eastAsia="宋体" w:cs="宋体"/>
                <w:spacing w:val="-1"/>
                <w:sz w:val="24"/>
                <w:szCs w:val="24"/>
                <w:lang w:val="en-US"/>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rPr>
              <w:t>赤峰市红山区</w:t>
            </w:r>
            <w:r>
              <w:rPr>
                <w:rFonts w:hint="eastAsia" w:cs="宋体"/>
                <w:spacing w:val="-1"/>
                <w:sz w:val="24"/>
                <w:szCs w:val="24"/>
                <w:lang w:val="en-US" w:eastAsia="zh-CN"/>
              </w:rPr>
              <w:t>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本项目工程施工图纸范围内的全部商品混凝土采购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计划工期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tcPr>
          <w:p>
            <w:pPr>
              <w:tabs>
                <w:tab w:val="left" w:pos="1388"/>
              </w:tabs>
              <w:spacing w:line="316" w:lineRule="auto"/>
              <w:ind w:right="468"/>
              <w:jc w:val="both"/>
              <w:rPr>
                <w:rFonts w:hint="eastAsia" w:ascii="宋体" w:hAnsi="宋体" w:eastAsia="宋体" w:cs="宋体"/>
                <w:sz w:val="24"/>
                <w:szCs w:val="24"/>
                <w:vertAlign w:val="baseline"/>
                <w:lang w:val="en-US" w:eastAsia="zh-CN"/>
              </w:rPr>
            </w:pPr>
            <w:r>
              <w:rPr>
                <w:rFonts w:hint="eastAsia"/>
                <w:spacing w:val="-2"/>
                <w:sz w:val="24"/>
                <w:lang w:val="en-US" w:eastAsia="zh-CN"/>
              </w:rPr>
              <w:t>混凝土配合比符合国家技术标准要求，到场时塌落度应符合现场浇筑要求。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2022年4月</w:t>
            </w:r>
            <w:r>
              <w:rPr>
                <w:rFonts w:hint="eastAsia" w:cs="宋体"/>
                <w:sz w:val="24"/>
                <w:szCs w:val="24"/>
                <w:vertAlign w:val="baseline"/>
                <w:lang w:val="en-US" w:eastAsia="zh-CN"/>
              </w:rPr>
              <w:t>16</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eastAsia"/>
                <w:sz w:val="24"/>
                <w:lang w:val="en-US" w:eastAsia="zh-CN"/>
              </w:rPr>
            </w:pPr>
            <w:r>
              <w:rPr>
                <w:rFonts w:hint="eastAsia"/>
                <w:sz w:val="24"/>
                <w:lang w:val="en-US"/>
              </w:rPr>
              <w:t>本工程混凝土</w:t>
            </w:r>
            <w:r>
              <w:rPr>
                <w:rFonts w:hint="eastAsia"/>
                <w:sz w:val="24"/>
                <w:lang w:val="en-US" w:eastAsia="zh-CN"/>
              </w:rPr>
              <w:t>垫层、二次结构部分，以混凝土运输车方量为准，主体部分方量以图纸方量结算。</w:t>
            </w:r>
          </w:p>
          <w:p>
            <w:pPr>
              <w:pStyle w:val="16"/>
              <w:numPr>
                <w:ilvl w:val="0"/>
                <w:numId w:val="0"/>
              </w:numPr>
              <w:tabs>
                <w:tab w:val="left" w:pos="1388"/>
              </w:tabs>
              <w:spacing w:line="316" w:lineRule="auto"/>
              <w:ind w:right="468" w:rightChars="0"/>
              <w:jc w:val="both"/>
              <w:rPr>
                <w:rFonts w:hint="eastAsia"/>
                <w:color w:val="auto"/>
                <w:sz w:val="24"/>
                <w:lang w:val="en-US" w:eastAsia="zh-CN"/>
              </w:rPr>
            </w:pPr>
            <w:r>
              <w:rPr>
                <w:rFonts w:hint="eastAsia"/>
                <w:color w:val="auto"/>
                <w:sz w:val="24"/>
                <w:lang w:val="en-US" w:eastAsia="zh-CN"/>
              </w:rPr>
              <w:t>1、</w:t>
            </w:r>
            <w:r>
              <w:rPr>
                <w:rFonts w:hint="eastAsia"/>
                <w:color w:val="auto"/>
                <w:sz w:val="24"/>
                <w:lang w:val="en-US"/>
              </w:rPr>
              <w:t>每发生</w:t>
            </w:r>
            <w:r>
              <w:rPr>
                <w:rFonts w:hint="eastAsia"/>
                <w:color w:val="auto"/>
                <w:sz w:val="24"/>
                <w:lang w:val="en-US" w:eastAsia="zh-CN"/>
              </w:rPr>
              <w:t>10000</w:t>
            </w:r>
            <w:r>
              <w:rPr>
                <w:rFonts w:hint="eastAsia"/>
                <w:color w:val="auto"/>
                <w:sz w:val="24"/>
                <w:lang w:val="en-US"/>
              </w:rPr>
              <w:t>m³</w:t>
            </w:r>
            <w:r>
              <w:rPr>
                <w:rFonts w:hint="eastAsia"/>
                <w:color w:val="auto"/>
                <w:sz w:val="24"/>
                <w:lang w:val="en-US" w:eastAsia="zh-CN"/>
              </w:rPr>
              <w:t>结算一次，最后一次不足10000m³的按实际发生量结算。</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2、结算分两部分，其中总价款的80%以承兑汇票结算，总价款的20%以房抵账。</w:t>
            </w:r>
          </w:p>
          <w:p>
            <w:pPr>
              <w:pStyle w:val="16"/>
              <w:numPr>
                <w:ilvl w:val="0"/>
                <w:numId w:val="0"/>
              </w:numPr>
              <w:tabs>
                <w:tab w:val="left" w:pos="1388"/>
              </w:tabs>
              <w:spacing w:line="316" w:lineRule="auto"/>
              <w:ind w:right="468" w:rightChars="0"/>
              <w:jc w:val="both"/>
              <w:rPr>
                <w:rFonts w:hint="eastAsia"/>
                <w:sz w:val="24"/>
                <w:lang w:val="en-US" w:eastAsia="zh-CN"/>
              </w:rPr>
            </w:pPr>
            <w:r>
              <w:rPr>
                <w:rFonts w:hint="eastAsia"/>
                <w:color w:val="auto"/>
                <w:sz w:val="24"/>
                <w:lang w:val="en-US" w:eastAsia="zh-CN"/>
              </w:rPr>
              <w:t>3、承兑汇票部分结算时，到结算节点支付已发生总价的48%，结算节点后六个月支付剩余部分的32%。</w:t>
            </w:r>
          </w:p>
          <w:p>
            <w:pPr>
              <w:pStyle w:val="16"/>
              <w:numPr>
                <w:ilvl w:val="0"/>
                <w:numId w:val="0"/>
              </w:numPr>
              <w:tabs>
                <w:tab w:val="left" w:pos="1388"/>
              </w:tabs>
              <w:spacing w:line="316" w:lineRule="auto"/>
              <w:ind w:right="468" w:rightChars="0"/>
              <w:jc w:val="both"/>
              <w:rPr>
                <w:rFonts w:hint="eastAsia" w:ascii="宋体" w:hAnsi="宋体" w:cs="宋体" w:eastAsiaTheme="minorEastAsia"/>
                <w:b/>
                <w:bCs/>
                <w:szCs w:val="24"/>
                <w:vertAlign w:val="baseline"/>
                <w:lang w:val="en-US" w:eastAsia="zh-CN"/>
              </w:rPr>
            </w:pPr>
            <w:r>
              <w:rPr>
                <w:rFonts w:hint="eastAsia"/>
                <w:color w:val="auto"/>
                <w:sz w:val="24"/>
                <w:lang w:val="en-US" w:eastAsia="zh-CN"/>
              </w:rPr>
              <w:t>4、以房抵账部分，乙方选房后计算房产总价，抵账部分达到房产价总款后办理抵账手续。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14</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最高限价</w:t>
            </w:r>
          </w:p>
        </w:tc>
        <w:tc>
          <w:tcPr>
            <w:tcW w:w="5983" w:type="dxa"/>
            <w:vAlign w:val="center"/>
          </w:tcPr>
          <w:p>
            <w:pPr>
              <w:bidi w:val="0"/>
              <w:spacing w:line="360" w:lineRule="auto"/>
              <w:jc w:val="both"/>
              <w:rPr>
                <w:rFonts w:hint="default"/>
                <w:sz w:val="24"/>
                <w:szCs w:val="24"/>
                <w:lang w:val="en-US" w:eastAsia="zh-CN"/>
              </w:rPr>
            </w:pPr>
            <w:r>
              <w:rPr>
                <w:rFonts w:hint="eastAsia"/>
                <w:sz w:val="24"/>
                <w:szCs w:val="24"/>
                <w:lang w:val="en-US" w:eastAsia="zh-CN"/>
              </w:rPr>
              <w:t>设置，见附表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default" w:eastAsiaTheme="minorEastAsia"/>
          <w:lang w:val="en-US" w:eastAsia="zh-CN"/>
        </w:rPr>
      </w:pPr>
    </w:p>
    <w:p>
      <w:pPr>
        <w:ind w:right="517"/>
        <w:jc w:val="center"/>
        <w:rPr>
          <w:rFonts w:hint="eastAsia"/>
          <w:b/>
          <w:sz w:val="44"/>
          <w:szCs w:val="44"/>
          <w:lang w:val="en-US"/>
        </w:rPr>
      </w:pPr>
      <w:bookmarkStart w:id="0" w:name="一、投标函及投标函附录"/>
      <w:bookmarkEnd w:id="0"/>
      <w:bookmarkStart w:id="1" w:name="第二章__投标人须知"/>
      <w:bookmarkEnd w:id="1"/>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ind w:right="517"/>
        <w:jc w:val="center"/>
        <w:rPr>
          <w:rFonts w:hint="eastAsia"/>
          <w:b/>
          <w:sz w:val="44"/>
          <w:szCs w:val="44"/>
          <w:lang w:val="en-US"/>
        </w:rPr>
      </w:pPr>
    </w:p>
    <w:p>
      <w:pPr>
        <w:jc w:val="center"/>
        <w:rPr>
          <w:rFonts w:hint="default" w:eastAsia="宋体"/>
          <w:sz w:val="36"/>
          <w:szCs w:val="36"/>
          <w:lang w:val="en-US" w:eastAsia="zh-CN"/>
        </w:rPr>
      </w:pPr>
      <w:r>
        <w:rPr>
          <w:rFonts w:hint="eastAsia"/>
          <w:sz w:val="36"/>
          <w:szCs w:val="36"/>
          <w:lang w:val="en-US" w:eastAsia="zh-CN"/>
        </w:rPr>
        <w:t>最高限价表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w:t>
      </w:r>
      <w:r>
        <w:rPr>
          <w:rFonts w:hint="eastAsia"/>
          <w:sz w:val="30"/>
          <w:szCs w:val="30"/>
          <w:lang w:val="en-US" w:eastAsia="zh-CN"/>
        </w:rPr>
        <w:t>经内蒙古中亿建筑有限公司集采中心办公室市场调研，限定最高报价如下</w:t>
      </w:r>
      <w:r>
        <w:rPr>
          <w:rFonts w:hint="eastAsia"/>
          <w:sz w:val="30"/>
          <w:szCs w:val="30"/>
        </w:rPr>
        <w:t>（含3%增值税专用发票）</w:t>
      </w:r>
      <w:r>
        <w:rPr>
          <w:rFonts w:hint="eastAsia"/>
          <w:sz w:val="30"/>
          <w:szCs w:val="30"/>
          <w:lang w:eastAsia="zh-CN"/>
        </w:rPr>
        <w:t>，</w:t>
      </w:r>
      <w:r>
        <w:rPr>
          <w:rFonts w:hint="eastAsia"/>
          <w:sz w:val="30"/>
          <w:szCs w:val="30"/>
          <w:lang w:val="en-US" w:eastAsia="zh-CN"/>
        </w:rPr>
        <w:t>请各投标人投标报价不得高于以下价格，高于以下价格视为废标</w:t>
      </w:r>
      <w:r>
        <w:rPr>
          <w:rFonts w:hint="eastAsia"/>
          <w:sz w:val="30"/>
          <w:szCs w:val="30"/>
        </w:rPr>
        <w:t>：</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230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385</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50</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90</w:t>
            </w:r>
          </w:p>
        </w:tc>
      </w:tr>
      <w:tr>
        <w:tblPrEx>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590</w:t>
            </w: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eastAsia="zh-CN"/>
        </w:rPr>
        <w:t>注：</w:t>
      </w:r>
      <w:r>
        <w:rPr>
          <w:rFonts w:hint="eastAsia"/>
          <w:b/>
          <w:bCs/>
          <w:sz w:val="24"/>
          <w:szCs w:val="24"/>
          <w:lang w:val="en-US" w:eastAsia="zh-CN"/>
        </w:rPr>
        <w:t>以上价格为运距在15公里以内的价格，超出15公里以外每公里增加2元。</w:t>
      </w:r>
    </w:p>
    <w:p>
      <w:pPr>
        <w:jc w:val="right"/>
        <w:rPr>
          <w:rFonts w:hint="eastAsia"/>
          <w:sz w:val="30"/>
          <w:szCs w:val="30"/>
          <w:lang w:val="en-US" w:eastAsia="zh-CN"/>
        </w:rPr>
      </w:pPr>
    </w:p>
    <w:p>
      <w:pPr>
        <w:ind w:right="517"/>
        <w:jc w:val="center"/>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赤峰市红山区妇幼保健院迁建</w:t>
      </w:r>
      <w:r>
        <w:rPr>
          <w:rFonts w:hint="eastAsia"/>
          <w:sz w:val="28"/>
          <w:szCs w:val="28"/>
        </w:rPr>
        <w:t>项目</w:t>
      </w:r>
      <w:r>
        <w:rPr>
          <w:rFonts w:hint="eastAsia"/>
          <w:sz w:val="28"/>
          <w:szCs w:val="28"/>
          <w:lang w:val="en-US" w:eastAsia="zh-CN"/>
        </w:rPr>
        <w:t>商品混凝土采购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每一次商品混凝土供应，确保商品混凝土供应质量</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jc w:val="center"/>
        <w:rPr>
          <w:rFonts w:hint="eastAsia"/>
          <w:sz w:val="36"/>
          <w:szCs w:val="36"/>
        </w:rPr>
      </w:pPr>
      <w:r>
        <w:rPr>
          <w:rFonts w:hint="eastAsia"/>
          <w:sz w:val="36"/>
          <w:szCs w:val="36"/>
        </w:rPr>
        <w:t>商品混凝土报价单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 w:val="30"/>
          <w:szCs w:val="30"/>
        </w:rPr>
      </w:pPr>
      <w:r>
        <w:rPr>
          <w:rFonts w:hint="eastAsia"/>
          <w:sz w:val="30"/>
          <w:szCs w:val="30"/>
        </w:rPr>
        <w:t>根据政府主管部门的同期商品混凝土指导价格，结合当前赤峰地区原材料成本，本公司混凝土报价如下（含3%增值税专用发票）：</w:t>
      </w:r>
    </w:p>
    <w:tbl>
      <w:tblPr>
        <w:tblStyle w:val="12"/>
        <w:tblW w:w="8858" w:type="dxa"/>
        <w:tblInd w:w="135" w:type="dxa"/>
        <w:tblLayout w:type="fixed"/>
        <w:tblCellMar>
          <w:top w:w="0" w:type="dxa"/>
          <w:left w:w="108" w:type="dxa"/>
          <w:bottom w:w="0" w:type="dxa"/>
          <w:right w:w="108" w:type="dxa"/>
        </w:tblCellMar>
      </w:tblPr>
      <w:tblGrid>
        <w:gridCol w:w="1551"/>
        <w:gridCol w:w="2377"/>
        <w:gridCol w:w="2204"/>
        <w:gridCol w:w="2726"/>
      </w:tblGrid>
      <w:tr>
        <w:tblPrEx>
          <w:tblCellMar>
            <w:top w:w="0" w:type="dxa"/>
            <w:left w:w="108" w:type="dxa"/>
            <w:bottom w:w="0" w:type="dxa"/>
            <w:right w:w="108" w:type="dxa"/>
          </w:tblCellMar>
        </w:tblPrEx>
        <w:trPr>
          <w:trHeight w:val="1137" w:hRule="atLeast"/>
        </w:trPr>
        <w:tc>
          <w:tcPr>
            <w:tcW w:w="1551" w:type="dxa"/>
            <w:tcBorders>
              <w:top w:val="double" w:color="auto" w:sz="2" w:space="0"/>
              <w:left w:val="double" w:color="auto" w:sz="2" w:space="0"/>
              <w:bottom w:val="single" w:color="auto" w:sz="4" w:space="0"/>
              <w:right w:val="single" w:color="auto" w:sz="4" w:space="0"/>
            </w:tcBorders>
            <w:noWrap w:val="0"/>
            <w:vAlign w:val="center"/>
          </w:tcPr>
          <w:p>
            <w:pPr>
              <w:spacing w:line="420" w:lineRule="auto"/>
              <w:jc w:val="center"/>
              <w:rPr>
                <w:rFonts w:ascii="仿宋" w:hAnsi="仿宋" w:eastAsia="仿宋"/>
                <w:b/>
                <w:bCs/>
                <w:sz w:val="24"/>
                <w:szCs w:val="24"/>
              </w:rPr>
            </w:pPr>
            <w:r>
              <w:rPr>
                <w:rFonts w:hint="eastAsia" w:ascii="仿宋" w:hAnsi="仿宋" w:eastAsia="仿宋"/>
                <w:sz w:val="24"/>
                <w:szCs w:val="24"/>
              </w:rPr>
              <w:t>强度等级</w:t>
            </w:r>
          </w:p>
        </w:tc>
        <w:tc>
          <w:tcPr>
            <w:tcW w:w="2377" w:type="dxa"/>
            <w:tcBorders>
              <w:top w:val="double" w:color="auto" w:sz="2"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rPr>
              <w:t>单价(元/m</w:t>
            </w:r>
            <w:r>
              <w:rPr>
                <w:rFonts w:hint="eastAsia" w:ascii="宋体" w:hAnsi="宋体" w:cs="宋体"/>
                <w:sz w:val="24"/>
                <w:szCs w:val="24"/>
              </w:rPr>
              <w:t>³</w:t>
            </w:r>
            <w:r>
              <w:rPr>
                <w:rFonts w:hint="eastAsia" w:ascii="仿宋" w:hAnsi="仿宋" w:eastAsia="仿宋"/>
                <w:sz w:val="24"/>
                <w:szCs w:val="24"/>
              </w:rPr>
              <w:t>)</w:t>
            </w:r>
          </w:p>
        </w:tc>
        <w:tc>
          <w:tcPr>
            <w:tcW w:w="2204" w:type="dxa"/>
            <w:tcBorders>
              <w:top w:val="double" w:color="auto" w:sz="2"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其它技术要求</w:t>
            </w:r>
          </w:p>
        </w:tc>
        <w:tc>
          <w:tcPr>
            <w:tcW w:w="2726" w:type="dxa"/>
            <w:tcBorders>
              <w:top w:val="double" w:color="auto" w:sz="2" w:space="0"/>
              <w:left w:val="nil"/>
              <w:bottom w:val="single" w:color="auto" w:sz="4" w:space="0"/>
              <w:right w:val="double" w:color="auto" w:sz="2"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rPr>
              <w:t>增加价格(元/m</w:t>
            </w:r>
            <w:r>
              <w:rPr>
                <w:rFonts w:hint="eastAsia" w:ascii="宋体" w:hAnsi="宋体" w:cs="宋体"/>
                <w:sz w:val="24"/>
                <w:szCs w:val="24"/>
              </w:rPr>
              <w:t>³</w:t>
            </w:r>
            <w:r>
              <w:rPr>
                <w:rFonts w:hint="eastAsia" w:ascii="仿宋" w:hAnsi="仿宋" w:eastAsia="仿宋"/>
                <w:sz w:val="24"/>
                <w:szCs w:val="24"/>
              </w:rPr>
              <w:t>)</w:t>
            </w: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抗渗</w:t>
            </w:r>
            <w:r>
              <w:rPr>
                <w:rFonts w:hint="eastAsia" w:ascii="仿宋" w:hAnsi="仿宋" w:eastAsia="仿宋"/>
                <w:sz w:val="24"/>
                <w:szCs w:val="24"/>
                <w:lang w:val="en-US" w:eastAsia="zh-CN"/>
              </w:rPr>
              <w:t>P6</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C15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sz w:val="24"/>
                <w:szCs w:val="24"/>
              </w:rPr>
            </w:pPr>
            <w:r>
              <w:rPr>
                <w:rFonts w:hint="eastAsia" w:ascii="仿宋" w:hAnsi="仿宋" w:eastAsia="仿宋"/>
                <w:sz w:val="24"/>
                <w:szCs w:val="24"/>
                <w:lang w:eastAsia="zh-CN"/>
              </w:rPr>
              <w:t>抗渗</w:t>
            </w:r>
            <w:r>
              <w:rPr>
                <w:rFonts w:hint="eastAsia" w:ascii="仿宋" w:hAnsi="仿宋" w:eastAsia="仿宋"/>
                <w:sz w:val="24"/>
                <w:szCs w:val="24"/>
                <w:lang w:val="en-US" w:eastAsia="zh-CN"/>
              </w:rPr>
              <w:t>P8</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细</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石</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C25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eastAsia="zh-CN"/>
              </w:rPr>
            </w:pPr>
            <w:r>
              <w:rPr>
                <w:rFonts w:hint="eastAsia" w:ascii="仿宋" w:hAnsi="仿宋" w:eastAsia="仿宋"/>
                <w:sz w:val="24"/>
                <w:szCs w:val="24"/>
                <w:lang w:eastAsia="zh-CN"/>
              </w:rPr>
              <w:t>早</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eastAsia" w:ascii="仿宋" w:hAnsi="仿宋" w:eastAsia="仿宋"/>
                <w:sz w:val="24"/>
                <w:szCs w:val="24"/>
                <w:lang w:val="en-US" w:eastAsia="zh-CN"/>
              </w:rPr>
            </w:pPr>
            <w:r>
              <w:rPr>
                <w:rFonts w:hint="eastAsia" w:ascii="仿宋" w:hAnsi="仿宋" w:eastAsia="仿宋"/>
                <w:sz w:val="24"/>
                <w:szCs w:val="24"/>
                <w:lang w:eastAsia="zh-CN"/>
              </w:rPr>
              <w:t>超早强</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C35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微膨胀</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C45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both"/>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highlight w:val="none"/>
                <w:lang w:val="en-US"/>
              </w:rPr>
            </w:pPr>
            <w:r>
              <w:rPr>
                <w:rFonts w:hint="eastAsia" w:ascii="仿宋" w:hAnsi="仿宋" w:eastAsia="仿宋"/>
                <w:sz w:val="24"/>
                <w:szCs w:val="24"/>
              </w:rPr>
              <w:t>防冻－</w:t>
            </w:r>
            <w:r>
              <w:rPr>
                <w:rFonts w:hint="eastAsia" w:ascii="仿宋" w:hAnsi="仿宋" w:eastAsia="仿宋"/>
                <w:sz w:val="24"/>
                <w:szCs w:val="24"/>
                <w:lang w:val="en-US" w:eastAsia="zh-CN"/>
              </w:rPr>
              <w:t>10</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sz w:val="24"/>
                <w:szCs w:val="24"/>
                <w:highlight w:val="none"/>
                <w:lang w:val="en-US" w:eastAsia="zh-CN"/>
              </w:rPr>
            </w:pPr>
          </w:p>
        </w:tc>
      </w:tr>
      <w:tr>
        <w:tblPrEx>
          <w:tblCellMar>
            <w:top w:w="0" w:type="dxa"/>
            <w:left w:w="108" w:type="dxa"/>
            <w:bottom w:w="0" w:type="dxa"/>
            <w:right w:w="108" w:type="dxa"/>
          </w:tblCellMar>
        </w:tblPrEx>
        <w:trPr>
          <w:trHeight w:val="70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ascii="仿宋" w:hAnsi="仿宋" w:eastAsia="仿宋"/>
                <w:b/>
                <w:bCs/>
                <w:sz w:val="24"/>
                <w:szCs w:val="24"/>
              </w:rPr>
            </w:pPr>
            <w:r>
              <w:rPr>
                <w:rFonts w:hint="eastAsia" w:ascii="仿宋" w:hAnsi="仿宋" w:eastAsia="仿宋"/>
                <w:sz w:val="24"/>
                <w:szCs w:val="24"/>
              </w:rPr>
              <w:t>C50</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ascii="仿宋" w:hAnsi="仿宋" w:eastAsia="仿宋" w:cs="Times New Roman"/>
                <w:kern w:val="2"/>
                <w:sz w:val="24"/>
                <w:szCs w:val="24"/>
                <w:lang w:val="en-US" w:eastAsia="zh-CN" w:bidi="ar-SA"/>
              </w:rPr>
            </w:pPr>
            <w:r>
              <w:rPr>
                <w:rFonts w:hint="eastAsia" w:ascii="仿宋" w:hAnsi="仿宋" w:eastAsia="仿宋"/>
                <w:sz w:val="24"/>
                <w:szCs w:val="24"/>
              </w:rPr>
              <w:t>防冻－</w:t>
            </w:r>
            <w:r>
              <w:rPr>
                <w:rFonts w:hint="eastAsia" w:ascii="仿宋" w:hAnsi="仿宋" w:eastAsia="仿宋"/>
                <w:sz w:val="24"/>
                <w:szCs w:val="24"/>
                <w:lang w:val="en-US" w:eastAsia="zh-CN"/>
              </w:rPr>
              <w:t>15</w:t>
            </w:r>
            <w:r>
              <w:rPr>
                <w:rFonts w:hint="eastAsia" w:ascii="仿宋" w:hAnsi="仿宋" w:eastAsia="仿宋"/>
                <w:sz w:val="24"/>
                <w:szCs w:val="24"/>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both"/>
              <w:rPr>
                <w:rFonts w:hint="default" w:ascii="仿宋" w:hAnsi="仿宋" w:eastAsia="仿宋" w:cs="Times New Roman"/>
                <w:kern w:val="2"/>
                <w:sz w:val="24"/>
                <w:szCs w:val="24"/>
                <w:lang w:val="en-US" w:eastAsia="zh-CN" w:bidi="ar-SA"/>
              </w:rPr>
            </w:pPr>
          </w:p>
        </w:tc>
      </w:tr>
      <w:tr>
        <w:tblPrEx>
          <w:tblCellMar>
            <w:top w:w="0" w:type="dxa"/>
            <w:left w:w="108" w:type="dxa"/>
            <w:bottom w:w="0" w:type="dxa"/>
            <w:right w:w="108" w:type="dxa"/>
          </w:tblCellMar>
        </w:tblPrEx>
        <w:trPr>
          <w:trHeight w:val="718" w:hRule="atLeast"/>
        </w:trPr>
        <w:tc>
          <w:tcPr>
            <w:tcW w:w="1551" w:type="dxa"/>
            <w:tcBorders>
              <w:top w:val="single" w:color="auto" w:sz="4" w:space="0"/>
              <w:left w:val="double" w:color="auto" w:sz="2" w:space="0"/>
              <w:bottom w:val="single" w:color="auto" w:sz="4" w:space="0"/>
              <w:right w:val="single" w:color="auto" w:sz="4" w:space="0"/>
            </w:tcBorders>
            <w:noWrap w:val="0"/>
            <w:vAlign w:val="center"/>
          </w:tcPr>
          <w:p>
            <w:pPr>
              <w:spacing w:before="15" w:beforeLines="5" w:after="15" w:afterLines="5" w:line="420" w:lineRule="auto"/>
              <w:jc w:val="center"/>
              <w:rPr>
                <w:rFonts w:hint="eastAsia" w:ascii="仿宋" w:hAnsi="仿宋" w:eastAsia="仿宋" w:cs="Times New Roman"/>
                <w:b/>
                <w:bCs/>
                <w:kern w:val="2"/>
                <w:sz w:val="24"/>
                <w:szCs w:val="24"/>
                <w:lang w:val="en-US" w:eastAsia="zh-CN" w:bidi="ar-SA"/>
              </w:rPr>
            </w:pPr>
            <w:r>
              <w:rPr>
                <w:rFonts w:hint="eastAsia" w:ascii="仿宋" w:hAnsi="仿宋" w:eastAsia="仿宋"/>
                <w:sz w:val="24"/>
                <w:szCs w:val="24"/>
              </w:rPr>
              <w:t>C5</w:t>
            </w:r>
            <w:r>
              <w:rPr>
                <w:rFonts w:hint="eastAsia" w:ascii="仿宋" w:hAnsi="仿宋" w:eastAsia="仿宋"/>
                <w:sz w:val="24"/>
                <w:szCs w:val="24"/>
                <w:lang w:val="en-US" w:eastAsia="zh-CN"/>
              </w:rPr>
              <w:t>5</w:t>
            </w:r>
          </w:p>
        </w:tc>
        <w:tc>
          <w:tcPr>
            <w:tcW w:w="2377"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sz w:val="24"/>
                <w:szCs w:val="24"/>
                <w:lang w:val="en-US" w:eastAsia="zh-CN"/>
              </w:rPr>
            </w:pPr>
          </w:p>
        </w:tc>
        <w:tc>
          <w:tcPr>
            <w:tcW w:w="2204" w:type="dxa"/>
            <w:tcBorders>
              <w:top w:val="single" w:color="auto" w:sz="4" w:space="0"/>
              <w:left w:val="nil"/>
              <w:bottom w:val="single" w:color="auto" w:sz="4" w:space="0"/>
              <w:right w:val="single" w:color="auto" w:sz="4"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c>
          <w:tcPr>
            <w:tcW w:w="2726" w:type="dxa"/>
            <w:tcBorders>
              <w:top w:val="single" w:color="auto" w:sz="4" w:space="0"/>
              <w:left w:val="nil"/>
              <w:bottom w:val="single" w:color="auto" w:sz="4" w:space="0"/>
              <w:right w:val="double" w:color="auto" w:sz="2" w:space="0"/>
            </w:tcBorders>
            <w:noWrap w:val="0"/>
            <w:vAlign w:val="center"/>
          </w:tcPr>
          <w:p>
            <w:pPr>
              <w:spacing w:line="420" w:lineRule="auto"/>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w:t>
            </w:r>
          </w:p>
        </w:tc>
      </w:tr>
    </w:tbl>
    <w:p>
      <w:pPr>
        <w:rPr>
          <w:rFonts w:hint="eastAsia"/>
          <w:b/>
          <w:bCs/>
          <w:sz w:val="24"/>
          <w:szCs w:val="24"/>
          <w:lang w:val="en-US" w:eastAsia="zh-CN"/>
        </w:rPr>
      </w:pPr>
      <w:r>
        <w:rPr>
          <w:rFonts w:hint="eastAsia"/>
          <w:b/>
          <w:bCs/>
          <w:sz w:val="24"/>
          <w:szCs w:val="24"/>
          <w:lang w:eastAsia="zh-CN"/>
        </w:rPr>
        <w:t>注：</w:t>
      </w:r>
      <w:r>
        <w:rPr>
          <w:rFonts w:hint="eastAsia"/>
          <w:b/>
          <w:bCs/>
          <w:sz w:val="24"/>
          <w:szCs w:val="24"/>
          <w:lang w:val="en-US" w:eastAsia="zh-CN"/>
        </w:rPr>
        <w:t>以上价格为运距在15公里以内的价格，超出15公里以外每公里增加2元</w:t>
      </w:r>
    </w:p>
    <w:p>
      <w:pPr>
        <w:rPr>
          <w:rFonts w:hint="eastAsia"/>
          <w:b/>
          <w:bCs/>
          <w:sz w:val="24"/>
          <w:szCs w:val="24"/>
          <w:lang w:val="en-US" w:eastAsia="zh-CN"/>
        </w:rPr>
      </w:pPr>
    </w:p>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rPr>
          <w:rFonts w:hint="eastAsia"/>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资格审查资料"/>
      <w:bookmarkEnd w:id="2"/>
      <w:bookmarkStart w:id="3" w:name="（八）承诺书"/>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赤峰市红山区妇幼保健院迁建项目商品混凝土采购</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商品混凝土采购</w:t>
    </w:r>
    <w:r>
      <w:rPr>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商品混凝土采购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6DE9"/>
    <w:rsid w:val="07F02457"/>
    <w:rsid w:val="14C326E3"/>
    <w:rsid w:val="18E03D7A"/>
    <w:rsid w:val="35B7717F"/>
    <w:rsid w:val="38086DE9"/>
    <w:rsid w:val="59892C39"/>
    <w:rsid w:val="69BE4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2487</Words>
  <Characters>2705</Characters>
  <Lines>0</Lines>
  <Paragraphs>0</Paragraphs>
  <TotalTime>1385</TotalTime>
  <ScaleCrop>false</ScaleCrop>
  <LinksUpToDate>false</LinksUpToDate>
  <CharactersWithSpaces>3011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2022-04-11T00:40:44Z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C96E78243F304B89B274899A8C876EC8</vt:lpwstr>
  </property>
</Properties>
</file>