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7" cstate="print"/>
                    <a:stretch>
                      <a:fillRect/>
                    </a:stretch>
                  </pic:blipFill>
                  <pic:spPr>
                    <a:xfrm>
                      <a:off x="0" y="0"/>
                      <a:ext cx="827405" cy="751205"/>
                    </a:xfrm>
                    <a:prstGeom prst="rect">
                      <a:avLst/>
                    </a:prstGeom>
                  </pic:spPr>
                </pic:pic>
              </a:graphicData>
            </a:graphic>
          </wp:anchor>
        </w:drawing>
      </w:r>
    </w:p>
    <w:p>
      <w:pPr>
        <w:pStyle w:val="9"/>
        <w:spacing w:before="8"/>
        <w:rPr>
          <w:lang w:val="en-US"/>
        </w:rPr>
      </w:pPr>
    </w:p>
    <w:p>
      <w:pPr>
        <w:pStyle w:val="9"/>
        <w:spacing w:before="8"/>
        <w:rPr>
          <w:lang w:val="en-US"/>
        </w:rPr>
      </w:pPr>
    </w:p>
    <w:p>
      <w:pPr>
        <w:pStyle w:val="9"/>
        <w:spacing w:before="8"/>
        <w:rPr>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nGg&#10;AtYAAAAKAQAADwAAAAAAAAABACAAAAAiAAAAZHJzL2Rvd25yZXYueG1sUEsBAhQAFAAAAAgAh07i&#10;QEOKwFvrAQAA3QMAAA4AAAAAAAAAAQAgAAAAJQEAAGRycy9lMm9Eb2MueG1sUEsFBgAAAAAGAAYA&#10;WQEAAIIFA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ind w:left="3089" w:leftChars="601" w:hanging="1767" w:hangingChars="400"/>
        <w:rPr>
          <w:b/>
          <w:bCs/>
          <w:sz w:val="44"/>
          <w:szCs w:val="44"/>
          <w:lang w:val="en-US"/>
        </w:rPr>
      </w:pPr>
      <w:r>
        <w:rPr>
          <w:rFonts w:hint="eastAsia"/>
          <w:b/>
          <w:bCs/>
          <w:sz w:val="44"/>
          <w:szCs w:val="44"/>
          <w:lang w:val="en-US"/>
        </w:rPr>
        <w:t>赤峰学院附属医院临床综合楼建设项目压力管材、管件采购</w:t>
      </w:r>
    </w:p>
    <w:p>
      <w:pPr>
        <w:pStyle w:val="9"/>
        <w:rPr>
          <w:b/>
          <w:bCs/>
          <w:sz w:val="44"/>
          <w:szCs w:val="44"/>
        </w:rPr>
      </w:pPr>
    </w:p>
    <w:p>
      <w:pPr>
        <w:pStyle w:val="9"/>
        <w:ind w:firstLine="1325" w:firstLineChars="300"/>
        <w:rPr>
          <w:b/>
          <w:bCs/>
          <w:sz w:val="44"/>
          <w:szCs w:val="44"/>
          <w:lang w:val="en-US"/>
        </w:rPr>
      </w:pPr>
      <w:r>
        <w:rPr>
          <w:b/>
          <w:bCs/>
          <w:sz w:val="44"/>
          <w:szCs w:val="44"/>
        </w:rPr>
        <w:t>招标项目编号：</w:t>
      </w:r>
      <w:r>
        <w:rPr>
          <w:rFonts w:hint="eastAsia"/>
          <w:b/>
          <w:bCs/>
          <w:sz w:val="44"/>
          <w:szCs w:val="44"/>
          <w:lang w:val="en-US"/>
        </w:rPr>
        <w:t>ZYJZFSYY20220007</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3" w:type="default"/>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rPr>
        <w:t>五</w:t>
      </w:r>
      <w:r>
        <w:rPr>
          <w:rFonts w:hint="eastAsia" w:ascii="微软雅黑" w:eastAsia="微软雅黑"/>
          <w:b/>
          <w:sz w:val="31"/>
        </w:rPr>
        <w:t>月</w:t>
      </w:r>
    </w:p>
    <w:p>
      <w:pPr>
        <w:spacing w:line="571" w:lineRule="exact"/>
        <w:ind w:right="17"/>
        <w:jc w:val="center"/>
        <w:rPr>
          <w:rFonts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rPr>
        <w:t>………………………………………………………</w:t>
      </w:r>
      <w:r>
        <w:rPr>
          <w:spacing w:val="7"/>
          <w:sz w:val="28"/>
        </w:rPr>
        <w:t>1</w:t>
      </w:r>
      <w:r>
        <w:rPr>
          <w:spacing w:val="7"/>
          <w:sz w:val="28"/>
        </w:rPr>
        <w:fldChar w:fldCharType="end"/>
      </w:r>
    </w:p>
    <w:p>
      <w:pPr>
        <w:pStyle w:val="9"/>
        <w:spacing w:before="7" w:line="720" w:lineRule="auto"/>
        <w:rPr>
          <w:sz w:val="23"/>
        </w:rPr>
      </w:pPr>
    </w:p>
    <w:p>
      <w:pPr>
        <w:tabs>
          <w:tab w:val="left" w:leader="dot" w:pos="9272"/>
        </w:tabs>
        <w:spacing w:line="720" w:lineRule="auto"/>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rPr>
        <w:t>……………………………………………………</w:t>
      </w:r>
      <w:r>
        <w:rPr>
          <w:rFonts w:hint="eastAsia"/>
          <w:spacing w:val="7"/>
          <w:sz w:val="28"/>
          <w:lang w:val="en-US"/>
        </w:rPr>
        <w:t>3</w:t>
      </w:r>
      <w:r>
        <w:rPr>
          <w:rFonts w:hint="eastAsia"/>
          <w:spacing w:val="7"/>
          <w:sz w:val="28"/>
          <w:lang w:val="en-US"/>
        </w:rPr>
        <w:fldChar w:fldCharType="end"/>
      </w:r>
    </w:p>
    <w:p>
      <w:pPr>
        <w:pStyle w:val="9"/>
        <w:spacing w:before="9" w:line="720" w:lineRule="auto"/>
      </w:pPr>
    </w:p>
    <w:p>
      <w:pPr>
        <w:tabs>
          <w:tab w:val="left" w:leader="dot" w:pos="8972"/>
        </w:tabs>
        <w:spacing w:line="720" w:lineRule="auto"/>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spacing w:line="600" w:lineRule="exact"/>
        <w:ind w:left="87" w:right="17"/>
        <w:jc w:val="center"/>
        <w:rPr>
          <w:sz w:val="28"/>
          <w:szCs w:val="28"/>
        </w:rPr>
      </w:pPr>
      <w:r>
        <w:rPr>
          <w:rFonts w:hint="eastAsia"/>
          <w:b/>
          <w:sz w:val="36"/>
          <w:szCs w:val="36"/>
          <w:lang w:val="en-US"/>
        </w:rPr>
        <w:t>赤峰学院附属医院临床综合楼建设项目压力管材、管件采购</w:t>
      </w:r>
      <w:r>
        <w:rPr>
          <w:rFonts w:hint="eastAsia"/>
          <w:b/>
          <w:sz w:val="36"/>
          <w:szCs w:val="36"/>
        </w:rPr>
        <w:t>招标公告</w:t>
      </w:r>
      <w:r>
        <w:rPr>
          <w:rFonts w:hint="eastAsia"/>
          <w:sz w:val="36"/>
          <w:szCs w:val="36"/>
        </w:rPr>
        <w:t xml:space="preserve"> </w:t>
      </w:r>
    </w:p>
    <w:p>
      <w:pPr>
        <w:pStyle w:val="9"/>
        <w:spacing w:before="79" w:line="600" w:lineRule="exact"/>
        <w:ind w:left="34" w:right="17"/>
        <w:jc w:val="center"/>
        <w:rPr>
          <w:b/>
          <w:sz w:val="10"/>
          <w:lang w:val="en-US"/>
        </w:rPr>
      </w:pPr>
      <w:r>
        <w:rPr>
          <w:rFonts w:hint="eastAsia"/>
          <w:b/>
          <w:bCs/>
        </w:rPr>
        <w:t>招标项目编号：</w:t>
      </w:r>
      <w:r>
        <w:rPr>
          <w:rFonts w:hint="eastAsia"/>
          <w:b/>
          <w:bCs/>
          <w:lang w:val="en-US"/>
        </w:rPr>
        <w:t>ZYJZFSYY</w:t>
      </w:r>
      <w:r>
        <w:rPr>
          <w:rFonts w:hint="eastAsia"/>
          <w:b/>
          <w:bCs/>
          <w:spacing w:val="14"/>
          <w:w w:val="85"/>
          <w:lang w:val="en-US"/>
        </w:rPr>
        <w:t>20220007</w:t>
      </w:r>
    </w:p>
    <w:p>
      <w:pPr>
        <w:pStyle w:val="9"/>
        <w:spacing w:before="9" w:line="480" w:lineRule="auto"/>
        <w:rPr>
          <w:b/>
        </w:rPr>
      </w:pPr>
    </w:p>
    <w:p>
      <w:pPr>
        <w:spacing w:line="600" w:lineRule="exact"/>
        <w:rPr>
          <w:sz w:val="28"/>
          <w:szCs w:val="28"/>
        </w:rPr>
      </w:pPr>
      <w:r>
        <w:rPr>
          <w:rFonts w:hint="eastAsia"/>
          <w:b/>
          <w:bCs/>
          <w:sz w:val="28"/>
          <w:szCs w:val="28"/>
        </w:rPr>
        <w:t xml:space="preserve">1、招标条件 </w:t>
      </w:r>
    </w:p>
    <w:p>
      <w:pPr>
        <w:spacing w:line="600" w:lineRule="exact"/>
        <w:ind w:firstLine="560" w:firstLineChars="200"/>
        <w:rPr>
          <w:sz w:val="28"/>
          <w:szCs w:val="28"/>
        </w:rPr>
      </w:pPr>
      <w:r>
        <w:rPr>
          <w:rFonts w:hint="eastAsia"/>
          <w:sz w:val="28"/>
          <w:szCs w:val="28"/>
          <w:lang w:val="en-US"/>
        </w:rPr>
        <w:t>赤峰学院附属医院临床综合楼建设项目已办理完毕施工许可证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压力管材管件、管件采购</w:t>
      </w:r>
      <w:r>
        <w:rPr>
          <w:rFonts w:hint="eastAsia"/>
          <w:sz w:val="28"/>
          <w:szCs w:val="28"/>
        </w:rPr>
        <w:t>进行公开招标。</w:t>
      </w:r>
    </w:p>
    <w:p>
      <w:pPr>
        <w:spacing w:line="600" w:lineRule="exact"/>
        <w:rPr>
          <w:sz w:val="28"/>
          <w:szCs w:val="28"/>
        </w:rPr>
      </w:pPr>
      <w:r>
        <w:rPr>
          <w:rFonts w:hint="eastAsia"/>
          <w:b/>
          <w:bCs/>
          <w:sz w:val="28"/>
          <w:szCs w:val="28"/>
        </w:rPr>
        <w:t xml:space="preserve">2、工程概况与招标范围 </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赤峰学院附属医院临床综合楼建设项目</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赤峰学院附属医院临床综合楼建设项目压力管材、管件采购</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w:t>
      </w:r>
      <w:r>
        <w:rPr>
          <w:rFonts w:hint="eastAsia"/>
          <w:spacing w:val="-1"/>
          <w:sz w:val="24"/>
          <w:lang w:val="en-US"/>
        </w:rPr>
        <w:t>赤峰市新城区赤峰学院附属医院内</w:t>
      </w:r>
    </w:p>
    <w:p>
      <w:pPr>
        <w:spacing w:line="600" w:lineRule="exact"/>
        <w:ind w:firstLine="560" w:firstLineChars="200"/>
        <w:rPr>
          <w:sz w:val="28"/>
          <w:szCs w:val="28"/>
        </w:rPr>
      </w:pPr>
      <w:r>
        <w:rPr>
          <w:rFonts w:hint="eastAsia"/>
          <w:sz w:val="28"/>
          <w:szCs w:val="28"/>
          <w:lang w:val="en-US"/>
        </w:rPr>
        <w:t xml:space="preserve"> </w:t>
      </w:r>
      <w:r>
        <w:rPr>
          <w:rFonts w:hint="eastAsia"/>
          <w:sz w:val="28"/>
          <w:szCs w:val="28"/>
        </w:rPr>
        <w:t>工程规模：</w:t>
      </w:r>
      <w:r>
        <w:rPr>
          <w:rFonts w:hint="eastAsia"/>
          <w:spacing w:val="-1"/>
          <w:sz w:val="24"/>
        </w:rPr>
        <w:t>本工程</w:t>
      </w:r>
      <w:r>
        <w:rPr>
          <w:spacing w:val="-1"/>
          <w:sz w:val="24"/>
        </w:rPr>
        <w:t>总建筑面积</w:t>
      </w:r>
      <w:r>
        <w:rPr>
          <w:rFonts w:hint="eastAsia"/>
          <w:spacing w:val="-1"/>
          <w:sz w:val="24"/>
          <w:lang w:val="en-US"/>
        </w:rPr>
        <w:t>75399.21</w:t>
      </w:r>
      <w:r>
        <w:rPr>
          <w:spacing w:val="-1"/>
          <w:sz w:val="24"/>
        </w:rPr>
        <w:t>平方米，其中地上医疗综合</w:t>
      </w:r>
      <w:r>
        <w:rPr>
          <w:color w:val="000000"/>
          <w:sz w:val="24"/>
          <w:szCs w:val="24"/>
        </w:rPr>
        <w:t>楼面积</w:t>
      </w:r>
      <w:r>
        <w:rPr>
          <w:rFonts w:hint="eastAsia"/>
          <w:color w:val="000000"/>
          <w:sz w:val="24"/>
          <w:szCs w:val="24"/>
          <w:lang w:val="en-US"/>
        </w:rPr>
        <w:t>35899.21</w:t>
      </w:r>
      <w:r>
        <w:rPr>
          <w:color w:val="000000"/>
          <w:sz w:val="24"/>
          <w:szCs w:val="24"/>
        </w:rPr>
        <w:t>平</w:t>
      </w:r>
      <w:r>
        <w:rPr>
          <w:rFonts w:hint="eastAsia"/>
          <w:color w:val="000000"/>
          <w:sz w:val="24"/>
          <w:szCs w:val="24"/>
        </w:rPr>
        <w:t>方</w:t>
      </w:r>
      <w:r>
        <w:rPr>
          <w:color w:val="000000"/>
          <w:sz w:val="24"/>
          <w:szCs w:val="24"/>
        </w:rPr>
        <w:t>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pPr>
        <w:spacing w:line="600" w:lineRule="exact"/>
        <w:ind w:firstLine="560" w:firstLineChars="200"/>
        <w:rPr>
          <w:sz w:val="28"/>
          <w:szCs w:val="28"/>
        </w:rPr>
      </w:pPr>
      <w:r>
        <w:rPr>
          <w:rFonts w:hint="eastAsia"/>
          <w:sz w:val="28"/>
          <w:szCs w:val="28"/>
        </w:rPr>
        <w:t>招标范围：本项目工程施工图纸范围内的</w:t>
      </w:r>
      <w:r>
        <w:rPr>
          <w:rFonts w:hint="eastAsia"/>
          <w:sz w:val="28"/>
          <w:szCs w:val="28"/>
          <w:lang w:val="en-US"/>
        </w:rPr>
        <w:t>全部地下水管道、管件采购。</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计划工期：2023 年 </w:t>
      </w:r>
      <w:r>
        <w:rPr>
          <w:rFonts w:hint="eastAsia"/>
          <w:sz w:val="28"/>
          <w:szCs w:val="28"/>
          <w:lang w:val="en-US"/>
        </w:rPr>
        <w:t>5</w:t>
      </w:r>
      <w:r>
        <w:rPr>
          <w:rFonts w:hint="eastAsia"/>
          <w:sz w:val="28"/>
          <w:szCs w:val="28"/>
        </w:rPr>
        <w:t xml:space="preserve">月 </w:t>
      </w:r>
      <w:r>
        <w:rPr>
          <w:rFonts w:hint="eastAsia"/>
          <w:sz w:val="28"/>
          <w:szCs w:val="28"/>
          <w:lang w:val="en-US"/>
        </w:rPr>
        <w:t>1</w:t>
      </w:r>
      <w:r>
        <w:rPr>
          <w:rFonts w:hint="eastAsia"/>
          <w:sz w:val="28"/>
          <w:szCs w:val="28"/>
        </w:rPr>
        <w:t xml:space="preserve"> 日前</w:t>
      </w:r>
      <w:r>
        <w:rPr>
          <w:rFonts w:hint="eastAsia"/>
          <w:sz w:val="28"/>
          <w:szCs w:val="28"/>
          <w:lang w:val="en-US"/>
        </w:rPr>
        <w:t>竣工</w:t>
      </w:r>
      <w:r>
        <w:rPr>
          <w:rFonts w:hint="eastAsia"/>
          <w:sz w:val="28"/>
          <w:szCs w:val="28"/>
        </w:rPr>
        <w:t>（具体开工日期以合同签订日期为准）。</w:t>
      </w:r>
    </w:p>
    <w:p>
      <w:pPr>
        <w:spacing w:line="600" w:lineRule="exact"/>
        <w:ind w:firstLine="560" w:firstLineChars="20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见第二章6条</w:t>
      </w:r>
    </w:p>
    <w:p>
      <w:pPr>
        <w:spacing w:line="600" w:lineRule="exact"/>
        <w:rPr>
          <w:sz w:val="28"/>
          <w:szCs w:val="28"/>
        </w:rPr>
      </w:pPr>
      <w:r>
        <w:rPr>
          <w:rFonts w:hint="eastAsia"/>
          <w:b/>
          <w:bCs/>
          <w:sz w:val="28"/>
          <w:szCs w:val="28"/>
        </w:rPr>
        <w:t xml:space="preserve">3、投标人资格要求 </w:t>
      </w:r>
    </w:p>
    <w:p>
      <w:pPr>
        <w:spacing w:line="600" w:lineRule="exact"/>
        <w:ind w:firstLine="560" w:firstLineChars="20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pPr>
        <w:spacing w:line="600" w:lineRule="exact"/>
        <w:ind w:firstLine="560" w:firstLineChars="20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pPr>
        <w:spacing w:line="600" w:lineRule="exact"/>
        <w:rPr>
          <w:sz w:val="28"/>
          <w:szCs w:val="28"/>
        </w:rPr>
      </w:pPr>
      <w:r>
        <w:rPr>
          <w:rFonts w:hint="eastAsia"/>
          <w:b/>
          <w:bCs/>
          <w:sz w:val="28"/>
          <w:szCs w:val="28"/>
        </w:rPr>
        <w:t xml:space="preserve">4、招标文件的获取 </w:t>
      </w:r>
    </w:p>
    <w:p>
      <w:pPr>
        <w:spacing w:line="600" w:lineRule="exact"/>
        <w:ind w:firstLine="560" w:firstLineChars="200"/>
        <w:rPr>
          <w:sz w:val="28"/>
          <w:szCs w:val="28"/>
        </w:rPr>
      </w:pPr>
      <w:r>
        <w:rPr>
          <w:rFonts w:hint="eastAsia"/>
          <w:sz w:val="28"/>
          <w:szCs w:val="28"/>
        </w:rPr>
        <w:t xml:space="preserve">本项目采用网上招投标方式（全过程网上招投标）。 </w:t>
      </w:r>
    </w:p>
    <w:p>
      <w:pPr>
        <w:spacing w:line="600" w:lineRule="exact"/>
        <w:ind w:firstLine="560" w:firstLineChars="20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pPr>
        <w:spacing w:line="600" w:lineRule="exact"/>
        <w:rPr>
          <w:sz w:val="28"/>
          <w:szCs w:val="28"/>
        </w:rPr>
      </w:pPr>
      <w:r>
        <w:rPr>
          <w:rFonts w:hint="eastAsia"/>
          <w:b/>
          <w:bCs/>
          <w:sz w:val="28"/>
          <w:szCs w:val="28"/>
        </w:rPr>
        <w:t>5、资格审查</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本项目采用资格后审方式，在开标后评标委员会按照招标文件规定的标准和方法对投标人的资格进行审查。 </w:t>
      </w:r>
    </w:p>
    <w:p>
      <w:pPr>
        <w:spacing w:line="600" w:lineRule="exact"/>
        <w:rPr>
          <w:sz w:val="28"/>
          <w:szCs w:val="28"/>
        </w:rPr>
      </w:pPr>
      <w:r>
        <w:rPr>
          <w:rFonts w:hint="eastAsia"/>
          <w:b/>
          <w:bCs/>
          <w:sz w:val="28"/>
          <w:szCs w:val="28"/>
        </w:rPr>
        <w:t xml:space="preserve">6、投标文件的递交 </w:t>
      </w:r>
    </w:p>
    <w:p>
      <w:pPr>
        <w:spacing w:line="600" w:lineRule="exact"/>
        <w:ind w:firstLine="560" w:firstLineChars="20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w:t>
      </w:r>
      <w:r>
        <w:rPr>
          <w:rFonts w:hint="eastAsia"/>
          <w:sz w:val="28"/>
          <w:szCs w:val="28"/>
          <w:lang w:val="en-US"/>
        </w:rPr>
        <w:t>5</w:t>
      </w:r>
      <w:r>
        <w:rPr>
          <w:rFonts w:hint="eastAsia"/>
          <w:sz w:val="28"/>
          <w:szCs w:val="28"/>
        </w:rPr>
        <w:t xml:space="preserve">月 </w:t>
      </w:r>
      <w:r>
        <w:rPr>
          <w:rFonts w:hint="eastAsia"/>
          <w:sz w:val="28"/>
          <w:szCs w:val="28"/>
          <w:lang w:val="en-US"/>
        </w:rPr>
        <w:t>24</w:t>
      </w:r>
      <w:r>
        <w:rPr>
          <w:rFonts w:hint="eastAsia"/>
          <w:sz w:val="28"/>
          <w:szCs w:val="28"/>
        </w:rPr>
        <w:t>日 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pPr>
        <w:spacing w:line="600" w:lineRule="exact"/>
        <w:rPr>
          <w:sz w:val="28"/>
          <w:szCs w:val="28"/>
        </w:rPr>
      </w:pPr>
      <w:r>
        <w:rPr>
          <w:rFonts w:hint="eastAsia"/>
          <w:b/>
          <w:bCs/>
          <w:sz w:val="28"/>
          <w:szCs w:val="28"/>
        </w:rPr>
        <w:t xml:space="preserve">7、发布公告的媒介 </w:t>
      </w:r>
    </w:p>
    <w:p>
      <w:pPr>
        <w:spacing w:line="600" w:lineRule="exact"/>
        <w:ind w:firstLine="560" w:firstLineChars="20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pPr>
        <w:spacing w:line="600" w:lineRule="exact"/>
        <w:rPr>
          <w:sz w:val="28"/>
          <w:szCs w:val="28"/>
        </w:rPr>
      </w:pPr>
      <w:r>
        <w:rPr>
          <w:rFonts w:hint="eastAsia"/>
          <w:b/>
          <w:bCs/>
          <w:sz w:val="28"/>
          <w:szCs w:val="28"/>
        </w:rPr>
        <w:t>8、联系方式</w:t>
      </w:r>
      <w:r>
        <w:rPr>
          <w:rFonts w:hint="eastAsia"/>
          <w:sz w:val="28"/>
          <w:szCs w:val="28"/>
        </w:rPr>
        <w:t xml:space="preserve"> </w:t>
      </w:r>
    </w:p>
    <w:p>
      <w:pPr>
        <w:spacing w:line="600" w:lineRule="exact"/>
        <w:ind w:firstLine="560" w:firstLineChars="200"/>
        <w:rPr>
          <w:sz w:val="28"/>
          <w:szCs w:val="28"/>
          <w:lang w:val="en-US"/>
        </w:rPr>
      </w:pPr>
      <w:r>
        <w:rPr>
          <w:rFonts w:hint="eastAsia"/>
          <w:sz w:val="28"/>
          <w:szCs w:val="28"/>
        </w:rPr>
        <w:t>招 标 人：</w:t>
      </w:r>
      <w:r>
        <w:rPr>
          <w:rFonts w:hint="eastAsia"/>
          <w:sz w:val="28"/>
          <w:szCs w:val="28"/>
          <w:lang w:val="en-US"/>
        </w:rPr>
        <w:t>内蒙古中亿建筑有限公司</w:t>
      </w:r>
    </w:p>
    <w:p>
      <w:pPr>
        <w:spacing w:line="600" w:lineRule="exact"/>
        <w:ind w:firstLine="560" w:firstLineChars="20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spacing w:line="600" w:lineRule="exact"/>
        <w:ind w:firstLine="560" w:firstLineChars="200"/>
        <w:rPr>
          <w:sz w:val="28"/>
          <w:szCs w:val="28"/>
        </w:rPr>
      </w:pPr>
      <w:r>
        <w:rPr>
          <w:rFonts w:hint="eastAsia"/>
          <w:sz w:val="28"/>
          <w:szCs w:val="28"/>
          <w:lang w:val="en-US"/>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8"/>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spacing w:line="600" w:lineRule="exact"/>
        <w:ind w:firstLine="560" w:firstLineChars="200"/>
        <w:rPr>
          <w:sz w:val="28"/>
          <w:szCs w:val="28"/>
          <w:lang w:val="en-US"/>
        </w:rPr>
      </w:pPr>
      <w:r>
        <w:rPr>
          <w:rFonts w:hint="eastAsia"/>
          <w:sz w:val="28"/>
          <w:szCs w:val="28"/>
        </w:rPr>
        <w:t>电  话 ：0476-</w:t>
      </w:r>
      <w:r>
        <w:rPr>
          <w:rFonts w:hint="eastAsia"/>
          <w:sz w:val="28"/>
          <w:szCs w:val="28"/>
          <w:lang w:val="en-US"/>
        </w:rPr>
        <w:t>5970070</w:t>
      </w:r>
    </w:p>
    <w:p>
      <w:pPr>
        <w:spacing w:line="600" w:lineRule="exact"/>
        <w:ind w:firstLine="560" w:firstLineChars="200"/>
        <w:rPr>
          <w:sz w:val="28"/>
          <w:szCs w:val="28"/>
          <w:lang w:val="en-US"/>
        </w:rPr>
      </w:pPr>
      <w:r>
        <w:rPr>
          <w:rFonts w:hint="eastAsia"/>
          <w:sz w:val="28"/>
          <w:szCs w:val="28"/>
          <w:lang w:val="en-US"/>
        </w:rPr>
        <w:t>网   址：</w:t>
      </w:r>
      <w:r>
        <w:fldChar w:fldCharType="begin"/>
      </w:r>
      <w:r>
        <w:instrText xml:space="preserve"> HYPERLINK "http://www.nmgzyjz.com" </w:instrText>
      </w:r>
      <w:r>
        <w:fldChar w:fldCharType="separate"/>
      </w:r>
      <w:r>
        <w:rPr>
          <w:rStyle w:val="15"/>
          <w:rFonts w:hint="eastAsia"/>
          <w:sz w:val="28"/>
          <w:szCs w:val="28"/>
          <w:lang w:val="en-US"/>
        </w:rPr>
        <w:t>www.nmgzyjz.com</w:t>
      </w:r>
      <w:r>
        <w:rPr>
          <w:rStyle w:val="15"/>
          <w:rFonts w:hint="eastAsia"/>
          <w:sz w:val="28"/>
          <w:szCs w:val="28"/>
          <w:lang w:val="en-US"/>
        </w:rPr>
        <w:fldChar w:fldCharType="end"/>
      </w:r>
      <w:r>
        <w:rPr>
          <w:rFonts w:hint="eastAsia"/>
          <w:sz w:val="28"/>
          <w:szCs w:val="28"/>
          <w:lang w:val="en-US"/>
        </w:rPr>
        <w:t xml:space="preserve">                            </w:t>
      </w: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b/>
          <w:bCs/>
          <w:sz w:val="44"/>
          <w:szCs w:val="52"/>
          <w:lang w:val="en-US"/>
        </w:rPr>
      </w:pPr>
      <w:r>
        <w:rPr>
          <w:rFonts w:hint="eastAsia"/>
          <w:sz w:val="28"/>
          <w:szCs w:val="28"/>
          <w:lang w:val="en-US"/>
        </w:rPr>
        <w:t xml:space="preserve">                             </w:t>
      </w:r>
    </w:p>
    <w:p>
      <w:pPr>
        <w:jc w:val="center"/>
        <w:rPr>
          <w:b/>
          <w:bCs/>
          <w:sz w:val="44"/>
          <w:szCs w:val="52"/>
          <w:lang w:val="en-US"/>
        </w:rPr>
      </w:pPr>
    </w:p>
    <w:p>
      <w:pPr>
        <w:numPr>
          <w:ilvl w:val="0"/>
          <w:numId w:val="1"/>
        </w:numPr>
        <w:jc w:val="center"/>
        <w:rPr>
          <w:b/>
          <w:bCs/>
          <w:sz w:val="44"/>
          <w:szCs w:val="52"/>
          <w:lang w:val="en-US"/>
        </w:rPr>
      </w:pPr>
      <w:r>
        <w:rPr>
          <w:rFonts w:hint="eastAsia"/>
          <w:b/>
          <w:bCs/>
          <w:sz w:val="44"/>
          <w:szCs w:val="52"/>
          <w:lang w:val="en-US"/>
        </w:rPr>
        <w:t xml:space="preserve"> 投标人须知</w:t>
      </w:r>
    </w:p>
    <w:p>
      <w:pPr>
        <w:jc w:val="both"/>
        <w:rPr>
          <w:b/>
          <w:bCs/>
          <w:sz w:val="44"/>
          <w:szCs w:val="52"/>
          <w:lang w:val="en-US"/>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3"/>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b/>
                <w:bCs/>
                <w:sz w:val="24"/>
                <w:szCs w:val="24"/>
                <w:lang w:val="en-US"/>
              </w:rPr>
            </w:pPr>
            <w:r>
              <w:rPr>
                <w:rFonts w:hint="eastAsia"/>
                <w:b/>
                <w:bCs/>
                <w:sz w:val="24"/>
                <w:szCs w:val="24"/>
                <w:lang w:val="en-US"/>
              </w:rPr>
              <w:t>序号</w:t>
            </w:r>
          </w:p>
        </w:tc>
        <w:tc>
          <w:tcPr>
            <w:tcW w:w="963" w:type="dxa"/>
            <w:vAlign w:val="center"/>
          </w:tcPr>
          <w:p>
            <w:pPr>
              <w:spacing w:line="360" w:lineRule="auto"/>
              <w:jc w:val="center"/>
              <w:rPr>
                <w:b/>
                <w:bCs/>
                <w:sz w:val="24"/>
                <w:szCs w:val="24"/>
                <w:lang w:val="en-US"/>
              </w:rPr>
            </w:pPr>
            <w:r>
              <w:rPr>
                <w:rFonts w:hint="eastAsia"/>
                <w:b/>
                <w:bCs/>
                <w:sz w:val="24"/>
                <w:szCs w:val="24"/>
                <w:lang w:val="en-US"/>
              </w:rPr>
              <w:t>条款名称</w:t>
            </w:r>
          </w:p>
        </w:tc>
        <w:tc>
          <w:tcPr>
            <w:tcW w:w="7170" w:type="dxa"/>
            <w:vAlign w:val="center"/>
          </w:tcPr>
          <w:p>
            <w:pPr>
              <w:spacing w:line="360" w:lineRule="auto"/>
              <w:jc w:val="center"/>
              <w:rPr>
                <w:b/>
                <w:bCs/>
                <w:sz w:val="24"/>
                <w:szCs w:val="24"/>
                <w:lang w:val="en-US"/>
              </w:rPr>
            </w:pPr>
            <w:r>
              <w:rPr>
                <w:rFonts w:hint="eastAsia"/>
                <w:b/>
                <w:bCs/>
                <w:sz w:val="24"/>
                <w:szCs w:val="24"/>
                <w:lang w:val="en-U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w:t>
            </w:r>
          </w:p>
        </w:tc>
        <w:tc>
          <w:tcPr>
            <w:tcW w:w="963" w:type="dxa"/>
            <w:vAlign w:val="center"/>
          </w:tcPr>
          <w:p>
            <w:pPr>
              <w:spacing w:line="360" w:lineRule="auto"/>
              <w:jc w:val="center"/>
              <w:rPr>
                <w:sz w:val="24"/>
                <w:szCs w:val="24"/>
                <w:lang w:val="en-US"/>
              </w:rPr>
            </w:pPr>
            <w:r>
              <w:rPr>
                <w:rFonts w:hint="eastAsia"/>
                <w:sz w:val="24"/>
                <w:szCs w:val="24"/>
                <w:lang w:val="en-US"/>
              </w:rPr>
              <w:t>招标人</w:t>
            </w:r>
          </w:p>
        </w:tc>
        <w:tc>
          <w:tcPr>
            <w:tcW w:w="7170" w:type="dxa"/>
          </w:tcPr>
          <w:p>
            <w:pPr>
              <w:spacing w:line="360" w:lineRule="auto"/>
              <w:jc w:val="both"/>
              <w:rPr>
                <w:sz w:val="24"/>
                <w:szCs w:val="24"/>
                <w:lang w:val="en-US"/>
              </w:rPr>
            </w:pPr>
            <w:r>
              <w:rPr>
                <w:rFonts w:hint="eastAsia"/>
                <w:sz w:val="24"/>
                <w:szCs w:val="24"/>
                <w:lang w:val="en-US"/>
              </w:rPr>
              <w:t>招标人：内蒙古中亿建筑有限公司</w:t>
            </w:r>
          </w:p>
          <w:p>
            <w:pPr>
              <w:spacing w:line="360" w:lineRule="auto"/>
              <w:jc w:val="both"/>
              <w:rPr>
                <w:sz w:val="24"/>
                <w:szCs w:val="24"/>
                <w:lang w:val="en-US"/>
              </w:rPr>
            </w:pPr>
            <w:r>
              <w:rPr>
                <w:rFonts w:hint="eastAsia"/>
                <w:sz w:val="24"/>
                <w:szCs w:val="24"/>
                <w:lang w:val="en-US"/>
              </w:rPr>
              <w:t>地址：内蒙古赤峰市新城区和美经济园区总部基地中亿办公楼</w:t>
            </w:r>
          </w:p>
          <w:p>
            <w:pPr>
              <w:spacing w:line="360" w:lineRule="auto"/>
              <w:jc w:val="both"/>
              <w:rPr>
                <w:sz w:val="24"/>
                <w:szCs w:val="24"/>
                <w:lang w:val="en-US"/>
              </w:rPr>
            </w:pPr>
            <w:r>
              <w:rPr>
                <w:rFonts w:hint="eastAsia"/>
                <w:sz w:val="24"/>
                <w:szCs w:val="24"/>
                <w:lang w:val="en-US"/>
              </w:rPr>
              <w:t>联系人：白主任</w:t>
            </w:r>
          </w:p>
          <w:p>
            <w:pPr>
              <w:spacing w:line="360" w:lineRule="auto"/>
              <w:jc w:val="both"/>
              <w:rPr>
                <w:sz w:val="24"/>
                <w:szCs w:val="24"/>
                <w:lang w:val="en-US"/>
              </w:rPr>
            </w:pPr>
            <w:r>
              <w:rPr>
                <w:rFonts w:hint="eastAsia"/>
                <w:sz w:val="24"/>
                <w:szCs w:val="24"/>
                <w:lang w:val="en-US"/>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2</w:t>
            </w:r>
          </w:p>
        </w:tc>
        <w:tc>
          <w:tcPr>
            <w:tcW w:w="963" w:type="dxa"/>
            <w:vAlign w:val="center"/>
          </w:tcPr>
          <w:p>
            <w:pPr>
              <w:spacing w:line="360" w:lineRule="auto"/>
              <w:jc w:val="center"/>
              <w:rPr>
                <w:sz w:val="24"/>
                <w:szCs w:val="24"/>
                <w:lang w:val="en-US"/>
              </w:rPr>
            </w:pPr>
            <w:r>
              <w:rPr>
                <w:rFonts w:hint="eastAsia"/>
                <w:sz w:val="24"/>
                <w:szCs w:val="24"/>
                <w:lang w:val="en-US"/>
              </w:rPr>
              <w:t>项目名称</w:t>
            </w:r>
          </w:p>
        </w:tc>
        <w:tc>
          <w:tcPr>
            <w:tcW w:w="7170" w:type="dxa"/>
            <w:vAlign w:val="center"/>
          </w:tcPr>
          <w:p>
            <w:pPr>
              <w:spacing w:line="360" w:lineRule="auto"/>
              <w:jc w:val="both"/>
              <w:rPr>
                <w:sz w:val="24"/>
                <w:szCs w:val="24"/>
                <w:lang w:val="en-US"/>
              </w:rPr>
            </w:pPr>
            <w:r>
              <w:rPr>
                <w:rFonts w:hint="eastAsia"/>
                <w:spacing w:val="-1"/>
                <w:sz w:val="24"/>
                <w:szCs w:val="24"/>
                <w:lang w:val="en-US"/>
              </w:rPr>
              <w:t>赤峰学院附属医院临床综合楼建设项目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3</w:t>
            </w:r>
          </w:p>
        </w:tc>
        <w:tc>
          <w:tcPr>
            <w:tcW w:w="963" w:type="dxa"/>
            <w:vAlign w:val="center"/>
          </w:tcPr>
          <w:p>
            <w:pPr>
              <w:spacing w:line="360" w:lineRule="auto"/>
              <w:ind w:firstLine="476" w:firstLineChars="200"/>
              <w:jc w:val="both"/>
              <w:rPr>
                <w:spacing w:val="-1"/>
                <w:sz w:val="24"/>
                <w:szCs w:val="24"/>
                <w:lang w:val="en-US"/>
              </w:rPr>
            </w:pPr>
            <w:r>
              <w:rPr>
                <w:rFonts w:hint="eastAsia"/>
                <w:spacing w:val="-1"/>
                <w:sz w:val="24"/>
                <w:szCs w:val="24"/>
                <w:lang w:val="en-US"/>
              </w:rPr>
              <w:t>建设地点</w:t>
            </w:r>
          </w:p>
        </w:tc>
        <w:tc>
          <w:tcPr>
            <w:tcW w:w="7170" w:type="dxa"/>
            <w:vAlign w:val="center"/>
          </w:tcPr>
          <w:p>
            <w:pPr>
              <w:spacing w:line="360" w:lineRule="auto"/>
              <w:jc w:val="both"/>
              <w:rPr>
                <w:spacing w:val="-1"/>
                <w:sz w:val="24"/>
                <w:szCs w:val="24"/>
                <w:lang w:val="en-US"/>
              </w:rPr>
            </w:pPr>
            <w:r>
              <w:rPr>
                <w:rFonts w:hint="eastAsia"/>
                <w:spacing w:val="-1"/>
                <w:sz w:val="24"/>
                <w:lang w:val="en-US"/>
              </w:rPr>
              <w:t>赤峰市新城区赤峰学院附属医院内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4</w:t>
            </w:r>
          </w:p>
        </w:tc>
        <w:tc>
          <w:tcPr>
            <w:tcW w:w="963" w:type="dxa"/>
            <w:vAlign w:val="center"/>
          </w:tcPr>
          <w:p>
            <w:pPr>
              <w:spacing w:line="360" w:lineRule="auto"/>
              <w:jc w:val="center"/>
              <w:rPr>
                <w:sz w:val="24"/>
                <w:szCs w:val="24"/>
                <w:lang w:val="en-US"/>
              </w:rPr>
            </w:pPr>
            <w:r>
              <w:rPr>
                <w:rFonts w:hint="eastAsia"/>
                <w:sz w:val="24"/>
                <w:szCs w:val="24"/>
                <w:lang w:val="en-US"/>
              </w:rPr>
              <w:t>招标范围</w:t>
            </w:r>
          </w:p>
        </w:tc>
        <w:tc>
          <w:tcPr>
            <w:tcW w:w="7170" w:type="dxa"/>
          </w:tcPr>
          <w:p>
            <w:pPr>
              <w:spacing w:line="360" w:lineRule="auto"/>
              <w:jc w:val="both"/>
              <w:rPr>
                <w:sz w:val="24"/>
                <w:szCs w:val="24"/>
                <w:lang w:val="en-US"/>
              </w:rPr>
            </w:pPr>
            <w:r>
              <w:rPr>
                <w:rFonts w:hint="eastAsia"/>
                <w:sz w:val="24"/>
                <w:szCs w:val="24"/>
                <w:lang w:val="en-US"/>
              </w:rPr>
              <w:t>本项目工程施工图纸范围内的地下车库压力管材、管件采购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5</w:t>
            </w:r>
          </w:p>
        </w:tc>
        <w:tc>
          <w:tcPr>
            <w:tcW w:w="963" w:type="dxa"/>
            <w:vAlign w:val="center"/>
          </w:tcPr>
          <w:p>
            <w:pPr>
              <w:spacing w:line="360" w:lineRule="auto"/>
              <w:jc w:val="center"/>
              <w:rPr>
                <w:sz w:val="24"/>
                <w:szCs w:val="24"/>
                <w:lang w:val="en-US"/>
              </w:rPr>
            </w:pPr>
            <w:r>
              <w:rPr>
                <w:rFonts w:hint="eastAsia"/>
                <w:sz w:val="24"/>
                <w:szCs w:val="24"/>
                <w:lang w:val="en-US"/>
              </w:rPr>
              <w:t>计划工期</w:t>
            </w:r>
          </w:p>
        </w:tc>
        <w:tc>
          <w:tcPr>
            <w:tcW w:w="7170" w:type="dxa"/>
            <w:vAlign w:val="center"/>
          </w:tcPr>
          <w:p>
            <w:pPr>
              <w:spacing w:line="360" w:lineRule="auto"/>
              <w:jc w:val="both"/>
              <w:rPr>
                <w:sz w:val="24"/>
                <w:szCs w:val="24"/>
                <w:lang w:val="en-US"/>
              </w:rPr>
            </w:pPr>
            <w:r>
              <w:rPr>
                <w:rFonts w:hint="eastAsia"/>
                <w:sz w:val="24"/>
                <w:szCs w:val="24"/>
                <w:lang w:val="en-US"/>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jc w:val="center"/>
        </w:trPr>
        <w:tc>
          <w:tcPr>
            <w:tcW w:w="734" w:type="dxa"/>
            <w:vAlign w:val="center"/>
          </w:tcPr>
          <w:p>
            <w:pPr>
              <w:spacing w:line="360" w:lineRule="auto"/>
              <w:jc w:val="center"/>
              <w:rPr>
                <w:sz w:val="24"/>
                <w:szCs w:val="24"/>
                <w:lang w:val="en-US"/>
              </w:rPr>
            </w:pPr>
            <w:r>
              <w:rPr>
                <w:rFonts w:hint="eastAsia"/>
                <w:sz w:val="24"/>
                <w:szCs w:val="24"/>
                <w:lang w:val="en-US"/>
              </w:rPr>
              <w:t>6</w:t>
            </w:r>
          </w:p>
        </w:tc>
        <w:tc>
          <w:tcPr>
            <w:tcW w:w="963" w:type="dxa"/>
            <w:vAlign w:val="center"/>
          </w:tcPr>
          <w:p>
            <w:pPr>
              <w:spacing w:line="360" w:lineRule="auto"/>
              <w:jc w:val="center"/>
              <w:rPr>
                <w:sz w:val="24"/>
                <w:szCs w:val="24"/>
                <w:lang w:val="en-US"/>
              </w:rPr>
            </w:pPr>
            <w:r>
              <w:rPr>
                <w:rFonts w:hint="eastAsia"/>
                <w:sz w:val="24"/>
                <w:szCs w:val="24"/>
                <w:lang w:val="en-US"/>
              </w:rPr>
              <w:t>质量要求</w:t>
            </w:r>
          </w:p>
        </w:tc>
        <w:tc>
          <w:tcPr>
            <w:tcW w:w="7170" w:type="dxa"/>
          </w:tcPr>
          <w:p>
            <w:pPr>
              <w:tabs>
                <w:tab w:val="left" w:pos="1388"/>
              </w:tabs>
              <w:spacing w:line="316" w:lineRule="auto"/>
              <w:ind w:right="468"/>
              <w:jc w:val="both"/>
              <w:rPr>
                <w:color w:val="FF0000"/>
                <w:sz w:val="24"/>
                <w:szCs w:val="24"/>
                <w:lang w:val="en-US"/>
              </w:rPr>
            </w:pPr>
            <w:r>
              <w:rPr>
                <w:rFonts w:hint="eastAsia"/>
                <w:color w:val="FF0000"/>
                <w:sz w:val="24"/>
                <w:szCs w:val="24"/>
                <w:lang w:val="en-US"/>
              </w:rPr>
              <w:t>一、镀锌钢管规格、外形及重量</w:t>
            </w:r>
          </w:p>
          <w:p>
            <w:pPr>
              <w:tabs>
                <w:tab w:val="left" w:pos="1388"/>
              </w:tabs>
              <w:spacing w:line="316" w:lineRule="auto"/>
              <w:ind w:right="468"/>
              <w:jc w:val="both"/>
              <w:rPr>
                <w:color w:val="FF0000"/>
                <w:sz w:val="24"/>
                <w:szCs w:val="24"/>
                <w:lang w:val="en-US"/>
              </w:rPr>
            </w:pPr>
            <w:r>
              <w:rPr>
                <w:rFonts w:hint="eastAsia"/>
                <w:color w:val="FF0000"/>
                <w:sz w:val="24"/>
                <w:szCs w:val="24"/>
                <w:lang w:val="en-US"/>
              </w:rPr>
              <w:t>（一）、镀锌钢管规格必须符合下表规定</w:t>
            </w:r>
            <w:r>
              <w:rPr>
                <w:color w:val="FF0000"/>
                <w:sz w:val="24"/>
                <w:szCs w:val="24"/>
                <w:lang w:val="en-US"/>
              </w:rPr>
              <w:t>:</w:t>
            </w:r>
          </w:p>
          <w:p>
            <w:pPr>
              <w:tabs>
                <w:tab w:val="left" w:pos="1388"/>
              </w:tabs>
              <w:spacing w:line="316" w:lineRule="auto"/>
              <w:ind w:right="468"/>
              <w:jc w:val="both"/>
              <w:rPr>
                <w:rFonts w:hint="eastAsia"/>
                <w:color w:val="FF0000"/>
                <w:sz w:val="24"/>
                <w:szCs w:val="24"/>
                <w:lang w:val="en-US"/>
              </w:rPr>
            </w:pPr>
          </w:p>
          <w:tbl>
            <w:tblPr>
              <w:tblStyle w:val="12"/>
              <w:tblW w:w="6829" w:type="dxa"/>
              <w:tblInd w:w="108" w:type="dxa"/>
              <w:tblLayout w:type="fixed"/>
              <w:tblCellMar>
                <w:top w:w="0" w:type="dxa"/>
                <w:left w:w="0" w:type="dxa"/>
                <w:bottom w:w="0" w:type="dxa"/>
                <w:right w:w="0" w:type="dxa"/>
              </w:tblCellMar>
            </w:tblPr>
            <w:tblGrid>
              <w:gridCol w:w="644"/>
              <w:gridCol w:w="502"/>
              <w:gridCol w:w="501"/>
              <w:gridCol w:w="576"/>
              <w:gridCol w:w="789"/>
              <w:gridCol w:w="575"/>
              <w:gridCol w:w="863"/>
              <w:gridCol w:w="789"/>
              <w:gridCol w:w="575"/>
              <w:gridCol w:w="1005"/>
              <w:gridCol w:w="10"/>
            </w:tblGrid>
            <w:tr>
              <w:tblPrEx>
                <w:tblCellMar>
                  <w:top w:w="0" w:type="dxa"/>
                  <w:left w:w="0" w:type="dxa"/>
                  <w:bottom w:w="0" w:type="dxa"/>
                  <w:right w:w="0" w:type="dxa"/>
                </w:tblCellMar>
              </w:tblPrEx>
              <w:trPr>
                <w:trHeight w:val="327" w:hRule="atLeast"/>
              </w:trPr>
              <w:tc>
                <w:tcPr>
                  <w:tcW w:w="114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DN</w:t>
                  </w:r>
                </w:p>
              </w:tc>
              <w:tc>
                <w:tcPr>
                  <w:tcW w:w="1077"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rFonts w:hint="eastAsia"/>
                      <w:color w:val="FF0000"/>
                    </w:rPr>
                    <w:t>外径（</w:t>
                  </w:r>
                  <w:r>
                    <w:rPr>
                      <w:color w:val="FF0000"/>
                    </w:rPr>
                    <w:t>mm</w:t>
                  </w:r>
                  <w:r>
                    <w:rPr>
                      <w:rFonts w:hint="eastAsia"/>
                      <w:color w:val="FF0000"/>
                    </w:rPr>
                    <w:t>）</w:t>
                  </w:r>
                </w:p>
              </w:tc>
              <w:tc>
                <w:tcPr>
                  <w:tcW w:w="2227"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rFonts w:hint="eastAsia"/>
                      <w:color w:val="FF0000"/>
                    </w:rPr>
                    <w:t>普通钢管</w:t>
                  </w:r>
                </w:p>
              </w:tc>
              <w:tc>
                <w:tcPr>
                  <w:tcW w:w="2377"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rFonts w:hint="eastAsia"/>
                      <w:color w:val="FF0000"/>
                    </w:rPr>
                    <w:t>加厚钢管</w:t>
                  </w:r>
                </w:p>
              </w:tc>
            </w:tr>
            <w:tr>
              <w:tblPrEx>
                <w:tblCellMar>
                  <w:top w:w="0" w:type="dxa"/>
                  <w:left w:w="0" w:type="dxa"/>
                  <w:bottom w:w="0" w:type="dxa"/>
                  <w:right w:w="0" w:type="dxa"/>
                </w:tblCellMar>
              </w:tblPrEx>
              <w:trPr>
                <w:gridAfter w:val="1"/>
                <w:wAfter w:w="10" w:type="dxa"/>
                <w:cantSplit/>
                <w:trHeight w:val="165" w:hRule="atLeast"/>
              </w:trPr>
              <w:tc>
                <w:tcPr>
                  <w:tcW w:w="645" w:type="dxa"/>
                  <w:vMerge w:val="restart"/>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rFonts w:hint="eastAsia"/>
                      <w:color w:val="FF0000"/>
                    </w:rPr>
                    <w:t>（</w:t>
                  </w:r>
                  <w:r>
                    <w:rPr>
                      <w:color w:val="FF0000"/>
                    </w:rPr>
                    <w:t>mm</w:t>
                  </w:r>
                  <w:r>
                    <w:rPr>
                      <w:rFonts w:hint="eastAsia"/>
                      <w:color w:val="FF0000"/>
                    </w:rPr>
                    <w:t>）</w:t>
                  </w:r>
                </w:p>
              </w:tc>
              <w:tc>
                <w:tcPr>
                  <w:tcW w:w="503" w:type="dxa"/>
                  <w:vMerge w:val="restart"/>
                  <w:tcBorders>
                    <w:top w:val="nil"/>
                    <w:left w:val="nil"/>
                    <w:bottom w:val="single" w:color="auto" w:sz="8" w:space="0"/>
                    <w:right w:val="single" w:color="auto" w:sz="8" w:space="0"/>
                  </w:tcBorders>
                  <w:vAlign w:val="center"/>
                </w:tcPr>
                <w:p>
                  <w:pPr>
                    <w:spacing w:line="500" w:lineRule="atLeast"/>
                    <w:jc w:val="center"/>
                    <w:rPr>
                      <w:color w:val="FF0000"/>
                      <w:szCs w:val="21"/>
                    </w:rPr>
                  </w:pPr>
                  <w:r>
                    <w:rPr>
                      <w:rFonts w:hint="eastAsia"/>
                      <w:color w:val="FF0000"/>
                    </w:rPr>
                    <w:t>（</w:t>
                  </w:r>
                  <w:r>
                    <w:rPr>
                      <w:color w:val="FF0000"/>
                    </w:rPr>
                    <w:t>in</w:t>
                  </w:r>
                  <w:r>
                    <w:rPr>
                      <w:rFonts w:hint="eastAsia"/>
                      <w:color w:val="FF0000"/>
                    </w:rPr>
                    <w:t>）</w:t>
                  </w:r>
                </w:p>
              </w:tc>
              <w:tc>
                <w:tcPr>
                  <w:tcW w:w="501" w:type="dxa"/>
                  <w:vMerge w:val="restart"/>
                  <w:tcBorders>
                    <w:top w:val="nil"/>
                    <w:left w:val="nil"/>
                    <w:bottom w:val="single" w:color="auto" w:sz="8" w:space="0"/>
                    <w:right w:val="single" w:color="auto" w:sz="8" w:space="0"/>
                  </w:tcBorders>
                  <w:vAlign w:val="center"/>
                </w:tcPr>
                <w:p>
                  <w:pPr>
                    <w:spacing w:line="500" w:lineRule="atLeast"/>
                    <w:jc w:val="center"/>
                    <w:rPr>
                      <w:color w:val="FF0000"/>
                      <w:szCs w:val="21"/>
                    </w:rPr>
                  </w:pPr>
                  <w:r>
                    <w:rPr>
                      <w:rFonts w:hint="eastAsia"/>
                      <w:color w:val="FF0000"/>
                    </w:rPr>
                    <w:t>外径</w:t>
                  </w:r>
                </w:p>
              </w:tc>
              <w:tc>
                <w:tcPr>
                  <w:tcW w:w="575" w:type="dxa"/>
                  <w:vMerge w:val="restart"/>
                  <w:tcBorders>
                    <w:top w:val="nil"/>
                    <w:left w:val="nil"/>
                    <w:bottom w:val="single" w:color="auto" w:sz="8" w:space="0"/>
                    <w:right w:val="single" w:color="auto" w:sz="8" w:space="0"/>
                  </w:tcBorders>
                  <w:vAlign w:val="center"/>
                </w:tcPr>
                <w:p>
                  <w:pPr>
                    <w:spacing w:line="500" w:lineRule="atLeast"/>
                    <w:jc w:val="center"/>
                    <w:rPr>
                      <w:color w:val="FF0000"/>
                      <w:szCs w:val="21"/>
                    </w:rPr>
                  </w:pPr>
                  <w:r>
                    <w:rPr>
                      <w:rFonts w:hint="eastAsia"/>
                      <w:color w:val="FF0000"/>
                    </w:rPr>
                    <w:t>允许</w:t>
                  </w:r>
                </w:p>
                <w:p>
                  <w:pPr>
                    <w:spacing w:line="500" w:lineRule="atLeast"/>
                    <w:jc w:val="center"/>
                    <w:rPr>
                      <w:color w:val="FF0000"/>
                      <w:szCs w:val="21"/>
                    </w:rPr>
                  </w:pPr>
                  <w:r>
                    <w:rPr>
                      <w:rFonts w:hint="eastAsia"/>
                      <w:color w:val="FF0000"/>
                    </w:rPr>
                    <w:t>偏差</w:t>
                  </w:r>
                </w:p>
              </w:tc>
              <w:tc>
                <w:tcPr>
                  <w:tcW w:w="1364" w:type="dxa"/>
                  <w:gridSpan w:val="2"/>
                  <w:tcBorders>
                    <w:top w:val="nil"/>
                    <w:left w:val="nil"/>
                    <w:bottom w:val="single" w:color="auto" w:sz="8" w:space="0"/>
                    <w:right w:val="single" w:color="auto" w:sz="8" w:space="0"/>
                  </w:tcBorders>
                  <w:vAlign w:val="center"/>
                </w:tcPr>
                <w:p>
                  <w:pPr>
                    <w:spacing w:line="500" w:lineRule="atLeast"/>
                    <w:jc w:val="center"/>
                    <w:rPr>
                      <w:color w:val="FF0000"/>
                      <w:szCs w:val="21"/>
                    </w:rPr>
                  </w:pPr>
                  <w:r>
                    <w:rPr>
                      <w:rFonts w:hint="eastAsia"/>
                      <w:color w:val="FF0000"/>
                    </w:rPr>
                    <w:t>壁</w:t>
                  </w:r>
                  <w:r>
                    <w:rPr>
                      <w:color w:val="FF0000"/>
                    </w:rPr>
                    <w:t xml:space="preserve">     </w:t>
                  </w:r>
                  <w:r>
                    <w:rPr>
                      <w:rFonts w:hint="eastAsia"/>
                      <w:color w:val="FF0000"/>
                    </w:rPr>
                    <w:t>厚</w:t>
                  </w:r>
                </w:p>
              </w:tc>
              <w:tc>
                <w:tcPr>
                  <w:tcW w:w="86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rFonts w:hint="eastAsia"/>
                      <w:color w:val="FF0000"/>
                    </w:rPr>
                    <w:t>单位重量</w:t>
                  </w:r>
                </w:p>
                <w:p>
                  <w:pPr>
                    <w:spacing w:line="500" w:lineRule="atLeast"/>
                    <w:jc w:val="center"/>
                    <w:rPr>
                      <w:color w:val="FF0000"/>
                      <w:szCs w:val="21"/>
                    </w:rPr>
                  </w:pPr>
                  <w:r>
                    <w:rPr>
                      <w:rFonts w:hint="eastAsia"/>
                      <w:color w:val="FF0000"/>
                    </w:rPr>
                    <w:t>（㎏</w:t>
                  </w:r>
                  <w:r>
                    <w:rPr>
                      <w:color w:val="FF0000"/>
                    </w:rPr>
                    <w:t>/m</w:t>
                  </w:r>
                  <w:r>
                    <w:rPr>
                      <w:rFonts w:hint="eastAsia"/>
                      <w:color w:val="FF0000"/>
                    </w:rPr>
                    <w:t>）</w:t>
                  </w:r>
                </w:p>
              </w:tc>
              <w:tc>
                <w:tcPr>
                  <w:tcW w:w="136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rFonts w:hint="eastAsia"/>
                      <w:color w:val="FF0000"/>
                    </w:rPr>
                    <w:t>壁</w:t>
                  </w:r>
                  <w:r>
                    <w:rPr>
                      <w:color w:val="FF0000"/>
                    </w:rPr>
                    <w:t xml:space="preserve">    </w:t>
                  </w:r>
                  <w:r>
                    <w:rPr>
                      <w:rFonts w:hint="eastAsia"/>
                      <w:color w:val="FF0000"/>
                    </w:rPr>
                    <w:t>厚</w:t>
                  </w:r>
                </w:p>
              </w:tc>
              <w:tc>
                <w:tcPr>
                  <w:tcW w:w="100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rFonts w:hint="eastAsia"/>
                      <w:color w:val="FF0000"/>
                    </w:rPr>
                    <w:t>单位重量</w:t>
                  </w:r>
                </w:p>
                <w:p>
                  <w:pPr>
                    <w:spacing w:line="500" w:lineRule="atLeast"/>
                    <w:jc w:val="center"/>
                    <w:rPr>
                      <w:color w:val="FF0000"/>
                      <w:szCs w:val="21"/>
                    </w:rPr>
                  </w:pPr>
                  <w:r>
                    <w:rPr>
                      <w:rFonts w:hint="eastAsia"/>
                      <w:color w:val="FF0000"/>
                    </w:rPr>
                    <w:t>（㎏</w:t>
                  </w:r>
                  <w:r>
                    <w:rPr>
                      <w:color w:val="FF0000"/>
                    </w:rPr>
                    <w:t>/m</w:t>
                  </w:r>
                  <w:r>
                    <w:rPr>
                      <w:rFonts w:hint="eastAsia"/>
                      <w:color w:val="FF0000"/>
                    </w:rPr>
                    <w:t>）</w:t>
                  </w:r>
                </w:p>
              </w:tc>
            </w:tr>
            <w:tr>
              <w:tblPrEx>
                <w:tblCellMar>
                  <w:top w:w="0" w:type="dxa"/>
                  <w:left w:w="0" w:type="dxa"/>
                  <w:bottom w:w="0" w:type="dxa"/>
                  <w:right w:w="0" w:type="dxa"/>
                </w:tblCellMar>
              </w:tblPrEx>
              <w:trPr>
                <w:gridAfter w:val="1"/>
                <w:wAfter w:w="10" w:type="dxa"/>
                <w:cantSplit/>
                <w:trHeight w:val="501" w:hRule="atLeast"/>
              </w:trPr>
              <w:tc>
                <w:tcPr>
                  <w:tcW w:w="645" w:type="dxa"/>
                  <w:vMerge w:val="continue"/>
                  <w:tcBorders>
                    <w:top w:val="nil"/>
                    <w:left w:val="single" w:color="auto" w:sz="8" w:space="0"/>
                    <w:bottom w:val="single" w:color="auto" w:sz="8" w:space="0"/>
                    <w:right w:val="single" w:color="auto" w:sz="8" w:space="0"/>
                  </w:tcBorders>
                  <w:vAlign w:val="center"/>
                </w:tcPr>
                <w:p>
                  <w:pPr>
                    <w:rPr>
                      <w:color w:val="FF0000"/>
                      <w:szCs w:val="21"/>
                    </w:rPr>
                  </w:pPr>
                </w:p>
              </w:tc>
              <w:tc>
                <w:tcPr>
                  <w:tcW w:w="503" w:type="dxa"/>
                  <w:vMerge w:val="continue"/>
                  <w:tcBorders>
                    <w:top w:val="nil"/>
                    <w:left w:val="nil"/>
                    <w:bottom w:val="single" w:color="auto" w:sz="8" w:space="0"/>
                    <w:right w:val="single" w:color="auto" w:sz="8" w:space="0"/>
                  </w:tcBorders>
                  <w:vAlign w:val="center"/>
                </w:tcPr>
                <w:p>
                  <w:pPr>
                    <w:rPr>
                      <w:color w:val="FF0000"/>
                      <w:szCs w:val="21"/>
                    </w:rPr>
                  </w:pPr>
                </w:p>
              </w:tc>
              <w:tc>
                <w:tcPr>
                  <w:tcW w:w="501" w:type="dxa"/>
                  <w:vMerge w:val="continue"/>
                  <w:tcBorders>
                    <w:top w:val="nil"/>
                    <w:left w:val="nil"/>
                    <w:bottom w:val="single" w:color="auto" w:sz="8" w:space="0"/>
                    <w:right w:val="single" w:color="auto" w:sz="8" w:space="0"/>
                  </w:tcBorders>
                  <w:vAlign w:val="center"/>
                </w:tcPr>
                <w:p>
                  <w:pPr>
                    <w:rPr>
                      <w:color w:val="FF0000"/>
                      <w:szCs w:val="21"/>
                    </w:rPr>
                  </w:pP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360" w:lineRule="atLeast"/>
                    <w:jc w:val="center"/>
                    <w:rPr>
                      <w:color w:val="FF0000"/>
                      <w:szCs w:val="21"/>
                    </w:rPr>
                  </w:pPr>
                  <w:r>
                    <w:rPr>
                      <w:rFonts w:hint="eastAsia"/>
                      <w:color w:val="FF0000"/>
                    </w:rPr>
                    <w:t>公称尺寸</w:t>
                  </w:r>
                </w:p>
                <w:p>
                  <w:pPr>
                    <w:spacing w:line="360" w:lineRule="atLeast"/>
                    <w:jc w:val="center"/>
                    <w:rPr>
                      <w:color w:val="FF0000"/>
                      <w:szCs w:val="21"/>
                    </w:rPr>
                  </w:pPr>
                  <w:r>
                    <w:rPr>
                      <w:rFonts w:hint="eastAsia"/>
                      <w:color w:val="FF0000"/>
                    </w:rPr>
                    <w:t>（</w:t>
                  </w:r>
                  <w:r>
                    <w:rPr>
                      <w:color w:val="FF0000"/>
                    </w:rPr>
                    <w:t>mm</w:t>
                  </w:r>
                  <w:r>
                    <w:rPr>
                      <w:rFonts w:hint="eastAsia"/>
                      <w:color w:val="FF0000"/>
                    </w:rPr>
                    <w:t>）</w:t>
                  </w:r>
                </w:p>
              </w:tc>
              <w:tc>
                <w:tcPr>
                  <w:tcW w:w="575" w:type="dxa"/>
                  <w:tcBorders>
                    <w:top w:val="nil"/>
                    <w:left w:val="nil"/>
                    <w:bottom w:val="single" w:color="auto" w:sz="8" w:space="0"/>
                    <w:right w:val="single" w:color="auto" w:sz="8" w:space="0"/>
                  </w:tcBorders>
                  <w:vAlign w:val="center"/>
                </w:tcPr>
                <w:p>
                  <w:pPr>
                    <w:spacing w:line="360" w:lineRule="atLeast"/>
                    <w:jc w:val="center"/>
                    <w:rPr>
                      <w:color w:val="FF0000"/>
                      <w:szCs w:val="21"/>
                    </w:rPr>
                  </w:pPr>
                  <w:r>
                    <w:rPr>
                      <w:rFonts w:hint="eastAsia"/>
                      <w:color w:val="FF0000"/>
                    </w:rPr>
                    <w:t>允许</w:t>
                  </w:r>
                </w:p>
                <w:p>
                  <w:pPr>
                    <w:spacing w:line="360" w:lineRule="atLeast"/>
                    <w:jc w:val="center"/>
                    <w:rPr>
                      <w:color w:val="FF0000"/>
                      <w:szCs w:val="21"/>
                    </w:rPr>
                  </w:pPr>
                  <w:r>
                    <w:rPr>
                      <w:rFonts w:hint="eastAsia"/>
                      <w:color w:val="FF0000"/>
                    </w:rPr>
                    <w:t>偏差</w:t>
                  </w:r>
                </w:p>
              </w:tc>
              <w:tc>
                <w:tcPr>
                  <w:tcW w:w="862"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tLeast"/>
                    <w:jc w:val="center"/>
                    <w:rPr>
                      <w:color w:val="FF0000"/>
                      <w:szCs w:val="21"/>
                    </w:rPr>
                  </w:pPr>
                  <w:r>
                    <w:rPr>
                      <w:rFonts w:hint="eastAsia"/>
                      <w:color w:val="FF0000"/>
                    </w:rPr>
                    <w:t>公称尺寸</w:t>
                  </w:r>
                </w:p>
                <w:p>
                  <w:pPr>
                    <w:spacing w:line="360" w:lineRule="atLeast"/>
                    <w:jc w:val="center"/>
                    <w:rPr>
                      <w:color w:val="FF0000"/>
                      <w:szCs w:val="21"/>
                    </w:rPr>
                  </w:pPr>
                  <w:r>
                    <w:rPr>
                      <w:rFonts w:hint="eastAsia"/>
                      <w:color w:val="FF0000"/>
                    </w:rPr>
                    <w:t>（</w:t>
                  </w:r>
                  <w:r>
                    <w:rPr>
                      <w:color w:val="FF0000"/>
                    </w:rPr>
                    <w:t>mm</w:t>
                  </w:r>
                  <w:r>
                    <w:rPr>
                      <w:rFonts w:hint="eastAsia"/>
                      <w:color w:val="FF0000"/>
                    </w:rPr>
                    <w:t>）</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tLeast"/>
                    <w:jc w:val="center"/>
                    <w:rPr>
                      <w:color w:val="FF0000"/>
                      <w:szCs w:val="21"/>
                    </w:rPr>
                  </w:pPr>
                  <w:r>
                    <w:rPr>
                      <w:rFonts w:hint="eastAsia"/>
                      <w:color w:val="FF0000"/>
                    </w:rPr>
                    <w:t>允许</w:t>
                  </w:r>
                </w:p>
                <w:p>
                  <w:pPr>
                    <w:spacing w:line="360" w:lineRule="atLeast"/>
                    <w:jc w:val="center"/>
                    <w:rPr>
                      <w:color w:val="FF0000"/>
                      <w:szCs w:val="21"/>
                    </w:rPr>
                  </w:pPr>
                  <w:r>
                    <w:rPr>
                      <w:rFonts w:hint="eastAsia"/>
                      <w:color w:val="FF0000"/>
                    </w:rPr>
                    <w:t>偏差</w:t>
                  </w:r>
                </w:p>
              </w:tc>
              <w:tc>
                <w:tcPr>
                  <w:tcW w:w="1005" w:type="dxa"/>
                  <w:vMerge w:val="continue"/>
                  <w:tcBorders>
                    <w:top w:val="nil"/>
                    <w:left w:val="nil"/>
                    <w:bottom w:val="single" w:color="auto" w:sz="8" w:space="0"/>
                    <w:right w:val="single" w:color="auto" w:sz="8" w:space="0"/>
                  </w:tcBorders>
                  <w:vAlign w:val="center"/>
                </w:tcPr>
                <w:p>
                  <w:pPr>
                    <w:rPr>
                      <w:color w:val="FF0000"/>
                      <w:szCs w:val="21"/>
                    </w:rPr>
                  </w:pPr>
                </w:p>
              </w:tc>
            </w:tr>
            <w:tr>
              <w:tblPrEx>
                <w:tblCellMar>
                  <w:top w:w="0" w:type="dxa"/>
                  <w:left w:w="0" w:type="dxa"/>
                  <w:bottom w:w="0" w:type="dxa"/>
                  <w:right w:w="0" w:type="dxa"/>
                </w:tblCellMar>
              </w:tblPrEx>
              <w:trPr>
                <w:gridAfter w:val="1"/>
                <w:wAfter w:w="10" w:type="dxa"/>
                <w:cantSplit/>
                <w:trHeight w:val="335" w:hRule="atLeast"/>
              </w:trPr>
              <w:tc>
                <w:tcPr>
                  <w:tcW w:w="6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6</w:t>
                  </w:r>
                </w:p>
              </w:tc>
              <w:tc>
                <w:tcPr>
                  <w:tcW w:w="50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1/8</w:t>
                  </w:r>
                </w:p>
              </w:tc>
              <w:tc>
                <w:tcPr>
                  <w:tcW w:w="5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10</w:t>
                  </w:r>
                </w:p>
              </w:tc>
              <w:tc>
                <w:tcPr>
                  <w:tcW w:w="57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rFonts w:hint="eastAsia"/>
                      <w:color w:val="FF0000"/>
                    </w:rPr>
                    <w:t>±</w:t>
                  </w:r>
                  <w:r>
                    <w:rPr>
                      <w:color w:val="FF0000"/>
                    </w:rPr>
                    <w:t>.50</w:t>
                  </w:r>
                </w:p>
                <w:p>
                  <w:pPr>
                    <w:spacing w:line="500" w:lineRule="atLeast"/>
                    <w:jc w:val="center"/>
                    <w:rPr>
                      <w:color w:val="FF0000"/>
                      <w:szCs w:val="21"/>
                    </w:rPr>
                  </w:pPr>
                  <w:r>
                    <w:rPr>
                      <w:color w:val="FF0000"/>
                    </w:rPr>
                    <w:t>~</w:t>
                  </w:r>
                </w:p>
                <w:p>
                  <w:pPr>
                    <w:spacing w:line="500" w:lineRule="atLeast"/>
                    <w:jc w:val="center"/>
                    <w:rPr>
                      <w:color w:val="FF0000"/>
                      <w:szCs w:val="21"/>
                    </w:rPr>
                  </w:pPr>
                  <w:r>
                    <w:rPr>
                      <w:color w:val="FF0000"/>
                    </w:rPr>
                    <w:t>1%</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2.06</w:t>
                  </w:r>
                </w:p>
              </w:tc>
              <w:tc>
                <w:tcPr>
                  <w:tcW w:w="57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12%</w:t>
                  </w:r>
                </w:p>
                <w:p>
                  <w:pPr>
                    <w:spacing w:line="500" w:lineRule="atLeast"/>
                    <w:jc w:val="center"/>
                    <w:rPr>
                      <w:color w:val="FF0000"/>
                      <w:szCs w:val="21"/>
                    </w:rPr>
                  </w:pPr>
                  <w:r>
                    <w:rPr>
                      <w:color w:val="FF0000"/>
                    </w:rPr>
                    <w:t>~</w:t>
                  </w:r>
                </w:p>
                <w:p>
                  <w:pPr>
                    <w:spacing w:line="500" w:lineRule="atLeast"/>
                    <w:jc w:val="center"/>
                    <w:rPr>
                      <w:color w:val="FF0000"/>
                      <w:szCs w:val="21"/>
                    </w:rPr>
                  </w:pPr>
                  <w:r>
                    <w:rPr>
                      <w:color w:val="FF0000"/>
                    </w:rPr>
                    <w:t>15%</w:t>
                  </w: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0.39</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2.5</w:t>
                  </w:r>
                </w:p>
              </w:tc>
              <w:tc>
                <w:tcPr>
                  <w:tcW w:w="57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+12%</w:t>
                  </w:r>
                </w:p>
                <w:p>
                  <w:pPr>
                    <w:spacing w:line="500" w:lineRule="atLeast"/>
                    <w:jc w:val="center"/>
                    <w:rPr>
                      <w:color w:val="FF0000"/>
                      <w:szCs w:val="21"/>
                    </w:rPr>
                  </w:pPr>
                  <w:r>
                    <w:rPr>
                      <w:color w:val="FF0000"/>
                    </w:rPr>
                    <w:t>~</w:t>
                  </w:r>
                </w:p>
                <w:p>
                  <w:pPr>
                    <w:spacing w:line="500" w:lineRule="atLeast"/>
                    <w:jc w:val="center"/>
                    <w:rPr>
                      <w:color w:val="FF0000"/>
                      <w:szCs w:val="21"/>
                    </w:rPr>
                  </w:pPr>
                  <w:r>
                    <w:rPr>
                      <w:color w:val="FF0000"/>
                    </w:rPr>
                    <w:t>15%</w:t>
                  </w: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0.46</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8</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1/4</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13.5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2.25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0.62</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2.75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0.73</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10</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3/8</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17.0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2.25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0.82</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2.75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0.97</w:t>
                  </w:r>
                </w:p>
              </w:tc>
            </w:tr>
            <w:tr>
              <w:tblPrEx>
                <w:tblCellMar>
                  <w:top w:w="0" w:type="dxa"/>
                  <w:left w:w="0" w:type="dxa"/>
                  <w:bottom w:w="0" w:type="dxa"/>
                  <w:right w:w="0" w:type="dxa"/>
                </w:tblCellMar>
              </w:tblPrEx>
              <w:trPr>
                <w:gridAfter w:val="1"/>
                <w:wAfter w:w="10" w:type="dxa"/>
                <w:cantSplit/>
                <w:trHeight w:val="335"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15</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1/2</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21.3</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2.75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1.26</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3.25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1.45</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20</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3/4</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26.8</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2.75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1.63</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3.50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2.01</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25</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33.5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3.25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2.42</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4.00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2.91</w:t>
                  </w:r>
                </w:p>
              </w:tc>
            </w:tr>
            <w:tr>
              <w:tblPrEx>
                <w:tblCellMar>
                  <w:top w:w="0" w:type="dxa"/>
                  <w:left w:w="0" w:type="dxa"/>
                  <w:bottom w:w="0" w:type="dxa"/>
                  <w:right w:w="0" w:type="dxa"/>
                </w:tblCellMar>
              </w:tblPrEx>
              <w:trPr>
                <w:gridAfter w:val="1"/>
                <w:wAfter w:w="10" w:type="dxa"/>
                <w:cantSplit/>
                <w:trHeight w:val="335"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32</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w:t>
                  </w:r>
                  <w:r>
                    <w:rPr>
                      <w:color w:val="FF0000"/>
                      <w:vertAlign w:val="superscript"/>
                    </w:rPr>
                    <w:t>1</w:t>
                  </w:r>
                  <w:r>
                    <w:rPr>
                      <w:color w:val="FF0000"/>
                    </w:rPr>
                    <w:t>/</w:t>
                  </w:r>
                  <w:r>
                    <w:rPr>
                      <w:color w:val="FF0000"/>
                      <w:vertAlign w:val="subscript"/>
                    </w:rPr>
                    <w:t>4</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42.3</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3.25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3.13</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4.00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3.78</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40</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w:t>
                  </w:r>
                  <w:r>
                    <w:rPr>
                      <w:color w:val="FF0000"/>
                      <w:vertAlign w:val="superscript"/>
                    </w:rPr>
                    <w:t>1</w:t>
                  </w:r>
                  <w:r>
                    <w:rPr>
                      <w:color w:val="FF0000"/>
                    </w:rPr>
                    <w:t>/</w:t>
                  </w:r>
                  <w:r>
                    <w:rPr>
                      <w:color w:val="FF0000"/>
                      <w:vertAlign w:val="subscript"/>
                    </w:rPr>
                    <w:t>2</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48.0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3.84</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4.25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4.58</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50</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60.0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4.88</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6.16</w:t>
                  </w:r>
                </w:p>
              </w:tc>
            </w:tr>
            <w:tr>
              <w:tblPrEx>
                <w:tblCellMar>
                  <w:top w:w="0" w:type="dxa"/>
                  <w:left w:w="0" w:type="dxa"/>
                  <w:bottom w:w="0" w:type="dxa"/>
                  <w:right w:w="0" w:type="dxa"/>
                </w:tblCellMar>
              </w:tblPrEx>
              <w:trPr>
                <w:gridAfter w:val="1"/>
                <w:wAfter w:w="10" w:type="dxa"/>
                <w:cantSplit/>
                <w:trHeight w:val="335"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65</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2</w:t>
                  </w:r>
                  <w:r>
                    <w:rPr>
                      <w:color w:val="FF0000"/>
                      <w:vertAlign w:val="superscript"/>
                    </w:rPr>
                    <w:t>1</w:t>
                  </w:r>
                  <w:r>
                    <w:rPr>
                      <w:color w:val="FF0000"/>
                    </w:rPr>
                    <w:t>/</w:t>
                  </w:r>
                  <w:r>
                    <w:rPr>
                      <w:color w:val="FF0000"/>
                      <w:vertAlign w:val="subscript"/>
                    </w:rPr>
                    <w:t>2</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75.5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3.75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6.64</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7.88</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80</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3</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88.5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4.00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8.34</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4.75</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9.81</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100</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4</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114.0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4.00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10.85</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5.00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13.44</w:t>
                  </w:r>
                </w:p>
              </w:tc>
            </w:tr>
            <w:tr>
              <w:tblPrEx>
                <w:tblCellMar>
                  <w:top w:w="0" w:type="dxa"/>
                  <w:left w:w="0" w:type="dxa"/>
                  <w:bottom w:w="0" w:type="dxa"/>
                  <w:right w:w="0" w:type="dxa"/>
                </w:tblCellMar>
              </w:tblPrEx>
              <w:trPr>
                <w:gridAfter w:val="1"/>
                <w:wAfter w:w="10" w:type="dxa"/>
                <w:cantSplit/>
                <w:trHeight w:val="335"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125</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5</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140.0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4.50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15.04</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5.50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18.24</w:t>
                  </w:r>
                </w:p>
              </w:tc>
            </w:tr>
            <w:tr>
              <w:tblPrEx>
                <w:tblCellMar>
                  <w:top w:w="0" w:type="dxa"/>
                  <w:left w:w="0" w:type="dxa"/>
                  <w:bottom w:w="0" w:type="dxa"/>
                  <w:right w:w="0" w:type="dxa"/>
                </w:tblCellMar>
              </w:tblPrEx>
              <w:trPr>
                <w:gridAfter w:val="1"/>
                <w:wAfter w:w="10" w:type="dxa"/>
                <w:cantSplit/>
                <w:trHeight w:val="327" w:hRule="atLeast"/>
              </w:trPr>
              <w:tc>
                <w:tcPr>
                  <w:tcW w:w="645"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Cs w:val="21"/>
                    </w:rPr>
                  </w:pPr>
                  <w:r>
                    <w:rPr>
                      <w:color w:val="FF0000"/>
                    </w:rPr>
                    <w:t>150</w:t>
                  </w:r>
                </w:p>
              </w:tc>
              <w:tc>
                <w:tcPr>
                  <w:tcW w:w="503"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6</w:t>
                  </w:r>
                </w:p>
              </w:tc>
              <w:tc>
                <w:tcPr>
                  <w:tcW w:w="501"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165.0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789" w:type="dxa"/>
                  <w:tcBorders>
                    <w:top w:val="nil"/>
                    <w:left w:val="nil"/>
                    <w:bottom w:val="single" w:color="auto" w:sz="8" w:space="0"/>
                    <w:right w:val="single" w:color="auto" w:sz="8" w:space="0"/>
                  </w:tcBorders>
                  <w:vAlign w:val="center"/>
                </w:tcPr>
                <w:p>
                  <w:pPr>
                    <w:spacing w:line="500" w:lineRule="atLeast"/>
                    <w:jc w:val="center"/>
                    <w:rPr>
                      <w:color w:val="FF0000"/>
                      <w:szCs w:val="21"/>
                    </w:rPr>
                  </w:pPr>
                  <w:r>
                    <w:rPr>
                      <w:color w:val="FF0000"/>
                    </w:rPr>
                    <w:t>4.50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86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17.81</w:t>
                  </w:r>
                </w:p>
              </w:tc>
              <w:tc>
                <w:tcPr>
                  <w:tcW w:w="78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5.50</w:t>
                  </w:r>
                </w:p>
              </w:tc>
              <w:tc>
                <w:tcPr>
                  <w:tcW w:w="575" w:type="dxa"/>
                  <w:vMerge w:val="continue"/>
                  <w:tcBorders>
                    <w:top w:val="nil"/>
                    <w:left w:val="nil"/>
                    <w:bottom w:val="single" w:color="auto" w:sz="8" w:space="0"/>
                    <w:right w:val="single" w:color="auto" w:sz="8" w:space="0"/>
                  </w:tcBorders>
                  <w:vAlign w:val="center"/>
                </w:tcPr>
                <w:p>
                  <w:pPr>
                    <w:rPr>
                      <w:color w:val="FF0000"/>
                      <w:szCs w:val="21"/>
                    </w:rPr>
                  </w:pPr>
                </w:p>
              </w:tc>
              <w:tc>
                <w:tcPr>
                  <w:tcW w:w="100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Cs w:val="21"/>
                    </w:rPr>
                  </w:pPr>
                  <w:r>
                    <w:rPr>
                      <w:color w:val="FF0000"/>
                    </w:rPr>
                    <w:t>21.63</w:t>
                  </w:r>
                </w:p>
              </w:tc>
            </w:tr>
          </w:tbl>
          <w:p>
            <w:pPr>
              <w:tabs>
                <w:tab w:val="left" w:pos="1388"/>
              </w:tabs>
              <w:spacing w:line="316" w:lineRule="auto"/>
              <w:ind w:right="468"/>
              <w:jc w:val="both"/>
              <w:rPr>
                <w:color w:val="FF0000"/>
                <w:sz w:val="24"/>
                <w:szCs w:val="24"/>
                <w:lang w:val="en-US"/>
              </w:rPr>
            </w:pPr>
            <w:r>
              <w:rPr>
                <w:rFonts w:hint="eastAsia"/>
                <w:color w:val="FF0000"/>
                <w:sz w:val="24"/>
                <w:szCs w:val="24"/>
                <w:lang w:val="en-US"/>
              </w:rPr>
              <w:t>二）、外形及重量</w:t>
            </w:r>
          </w:p>
          <w:p>
            <w:pPr>
              <w:tabs>
                <w:tab w:val="left" w:pos="1388"/>
              </w:tabs>
              <w:spacing w:line="316" w:lineRule="auto"/>
              <w:ind w:right="468"/>
              <w:jc w:val="both"/>
              <w:rPr>
                <w:color w:val="FF0000"/>
                <w:sz w:val="24"/>
                <w:szCs w:val="24"/>
                <w:lang w:val="en-US"/>
              </w:rPr>
            </w:pPr>
            <w:r>
              <w:rPr>
                <w:color w:val="FF0000"/>
                <w:sz w:val="24"/>
                <w:szCs w:val="24"/>
                <w:lang w:val="en-US"/>
              </w:rPr>
              <w:t>1、通常长度</w:t>
            </w:r>
          </w:p>
          <w:p>
            <w:pPr>
              <w:tabs>
                <w:tab w:val="left" w:pos="1388"/>
              </w:tabs>
              <w:spacing w:line="316" w:lineRule="auto"/>
              <w:ind w:right="468"/>
              <w:jc w:val="both"/>
              <w:rPr>
                <w:color w:val="FF0000"/>
                <w:sz w:val="24"/>
                <w:szCs w:val="24"/>
                <w:lang w:val="en-US"/>
              </w:rPr>
            </w:pPr>
            <w:r>
              <w:rPr>
                <w:color w:val="FF0000"/>
                <w:sz w:val="24"/>
                <w:szCs w:val="24"/>
                <w:lang w:val="en-US"/>
              </w:rPr>
              <w:t xml:space="preserve">    镀锌钢管的长度为6m，每批允许体重量不大于总重量5%，长度不小于2m的短尺钢管。</w:t>
            </w:r>
          </w:p>
          <w:p>
            <w:pPr>
              <w:tabs>
                <w:tab w:val="left" w:pos="1388"/>
              </w:tabs>
              <w:spacing w:line="316" w:lineRule="auto"/>
              <w:ind w:right="468"/>
              <w:jc w:val="both"/>
              <w:rPr>
                <w:color w:val="FF0000"/>
                <w:sz w:val="24"/>
                <w:szCs w:val="24"/>
                <w:lang w:val="en-US"/>
              </w:rPr>
            </w:pPr>
            <w:r>
              <w:rPr>
                <w:color w:val="FF0000"/>
                <w:sz w:val="24"/>
                <w:szCs w:val="24"/>
                <w:lang w:val="en-US"/>
              </w:rPr>
              <w:t>2、定尺长度</w:t>
            </w:r>
          </w:p>
          <w:p>
            <w:pPr>
              <w:tabs>
                <w:tab w:val="left" w:pos="1388"/>
              </w:tabs>
              <w:spacing w:line="316" w:lineRule="auto"/>
              <w:ind w:right="468"/>
              <w:jc w:val="both"/>
              <w:rPr>
                <w:color w:val="FF0000"/>
                <w:sz w:val="24"/>
                <w:szCs w:val="24"/>
                <w:lang w:val="en-US"/>
              </w:rPr>
            </w:pPr>
            <w:r>
              <w:rPr>
                <w:color w:val="FF0000"/>
                <w:sz w:val="24"/>
                <w:szCs w:val="24"/>
                <w:lang w:val="en-US"/>
              </w:rPr>
              <w:t xml:space="preserve">    镀锌钢管的主尺长度应在通常长度范围内其长度允许偏差为+20mm。</w:t>
            </w:r>
          </w:p>
          <w:p>
            <w:pPr>
              <w:tabs>
                <w:tab w:val="left" w:pos="1388"/>
              </w:tabs>
              <w:spacing w:line="316" w:lineRule="auto"/>
              <w:ind w:right="468"/>
              <w:jc w:val="both"/>
              <w:rPr>
                <w:color w:val="FF0000"/>
                <w:sz w:val="24"/>
                <w:szCs w:val="24"/>
                <w:lang w:val="en-US"/>
              </w:rPr>
            </w:pPr>
            <w:r>
              <w:rPr>
                <w:color w:val="FF0000"/>
                <w:sz w:val="24"/>
                <w:szCs w:val="24"/>
                <w:lang w:val="en-US"/>
              </w:rPr>
              <w:t>3、倍尺长度</w:t>
            </w:r>
          </w:p>
          <w:p>
            <w:pPr>
              <w:tabs>
                <w:tab w:val="left" w:pos="1388"/>
              </w:tabs>
              <w:spacing w:line="316" w:lineRule="auto"/>
              <w:ind w:right="468"/>
              <w:jc w:val="both"/>
              <w:rPr>
                <w:color w:val="FF0000"/>
                <w:sz w:val="24"/>
                <w:szCs w:val="24"/>
                <w:lang w:val="en-US"/>
              </w:rPr>
            </w:pPr>
            <w:r>
              <w:rPr>
                <w:color w:val="FF0000"/>
                <w:sz w:val="24"/>
                <w:szCs w:val="24"/>
                <w:lang w:val="en-US"/>
              </w:rPr>
              <w:t xml:space="preserve">    镀锌钢管的倍尺长度应在通常长度范围内其余长允许偏差为+20mm。每个倍尺应留5mm-10mm的切口余量。</w:t>
            </w:r>
          </w:p>
          <w:p>
            <w:pPr>
              <w:tabs>
                <w:tab w:val="left" w:pos="1388"/>
              </w:tabs>
              <w:spacing w:line="316" w:lineRule="auto"/>
              <w:ind w:right="468"/>
              <w:jc w:val="both"/>
              <w:rPr>
                <w:color w:val="FF0000"/>
                <w:sz w:val="24"/>
                <w:szCs w:val="24"/>
                <w:lang w:val="en-US"/>
              </w:rPr>
            </w:pPr>
            <w:r>
              <w:rPr>
                <w:color w:val="FF0000"/>
                <w:sz w:val="24"/>
                <w:szCs w:val="24"/>
                <w:lang w:val="en-US"/>
              </w:rPr>
              <w:t>4、弯曲度</w:t>
            </w:r>
          </w:p>
          <w:p>
            <w:pPr>
              <w:tabs>
                <w:tab w:val="left" w:pos="1388"/>
              </w:tabs>
              <w:spacing w:line="316" w:lineRule="auto"/>
              <w:ind w:right="468"/>
              <w:jc w:val="both"/>
              <w:rPr>
                <w:color w:val="FF0000"/>
                <w:sz w:val="24"/>
                <w:szCs w:val="24"/>
                <w:lang w:val="en-US"/>
              </w:rPr>
            </w:pPr>
            <w:r>
              <w:rPr>
                <w:color w:val="FF0000"/>
                <w:sz w:val="24"/>
                <w:szCs w:val="24"/>
                <w:lang w:val="en-US"/>
              </w:rPr>
              <w:t xml:space="preserve">    镀锌钢管应具有使用性的直度。</w:t>
            </w:r>
          </w:p>
          <w:p>
            <w:pPr>
              <w:tabs>
                <w:tab w:val="left" w:pos="1388"/>
              </w:tabs>
              <w:spacing w:line="316" w:lineRule="auto"/>
              <w:ind w:right="468"/>
              <w:jc w:val="both"/>
              <w:rPr>
                <w:color w:val="FF0000"/>
                <w:sz w:val="24"/>
                <w:szCs w:val="24"/>
                <w:lang w:val="en-US"/>
              </w:rPr>
            </w:pPr>
            <w:r>
              <w:rPr>
                <w:color w:val="FF0000"/>
                <w:sz w:val="24"/>
                <w:szCs w:val="24"/>
                <w:lang w:val="en-US"/>
              </w:rPr>
              <w:t>5、端头形状</w:t>
            </w:r>
          </w:p>
          <w:p>
            <w:pPr>
              <w:tabs>
                <w:tab w:val="left" w:pos="1388"/>
              </w:tabs>
              <w:spacing w:line="316" w:lineRule="auto"/>
              <w:ind w:right="468"/>
              <w:jc w:val="both"/>
              <w:rPr>
                <w:color w:val="FF0000"/>
                <w:sz w:val="24"/>
                <w:szCs w:val="24"/>
                <w:lang w:val="en-US"/>
              </w:rPr>
            </w:pPr>
            <w:r>
              <w:rPr>
                <w:color w:val="FF0000"/>
                <w:sz w:val="24"/>
                <w:szCs w:val="24"/>
                <w:lang w:val="en-US"/>
              </w:rPr>
              <w:t xml:space="preserve">    镀锌钢管的两端应在镀锌前与钢管轴线切成直角，切口内外毛刺高度均不得大于0.5mm。</w:t>
            </w:r>
          </w:p>
          <w:p>
            <w:pPr>
              <w:tabs>
                <w:tab w:val="left" w:pos="1388"/>
              </w:tabs>
              <w:spacing w:line="316" w:lineRule="auto"/>
              <w:ind w:right="468"/>
              <w:jc w:val="both"/>
              <w:rPr>
                <w:color w:val="FF0000"/>
                <w:sz w:val="24"/>
                <w:szCs w:val="24"/>
                <w:lang w:val="en-US"/>
              </w:rPr>
            </w:pPr>
            <w:r>
              <w:rPr>
                <w:color w:val="FF0000"/>
                <w:sz w:val="24"/>
                <w:szCs w:val="24"/>
                <w:lang w:val="en-US"/>
              </w:rPr>
              <w:t>6、交货重量</w:t>
            </w:r>
          </w:p>
          <w:p>
            <w:pPr>
              <w:tabs>
                <w:tab w:val="left" w:pos="1388"/>
              </w:tabs>
              <w:spacing w:line="316" w:lineRule="auto"/>
              <w:ind w:right="468"/>
              <w:jc w:val="both"/>
              <w:rPr>
                <w:color w:val="FF0000"/>
                <w:sz w:val="24"/>
                <w:szCs w:val="24"/>
                <w:lang w:val="en-US"/>
              </w:rPr>
            </w:pPr>
            <w:r>
              <w:rPr>
                <w:color w:val="FF0000"/>
                <w:sz w:val="24"/>
                <w:szCs w:val="24"/>
                <w:lang w:val="en-US"/>
              </w:rPr>
              <w:t xml:space="preserve">   镀锌钢管以实际重量交货。</w:t>
            </w:r>
          </w:p>
          <w:p>
            <w:pPr>
              <w:tabs>
                <w:tab w:val="left" w:pos="1388"/>
              </w:tabs>
              <w:spacing w:line="316" w:lineRule="auto"/>
              <w:ind w:right="468"/>
              <w:jc w:val="both"/>
              <w:rPr>
                <w:color w:val="FF0000"/>
                <w:sz w:val="24"/>
                <w:szCs w:val="24"/>
                <w:lang w:val="en-US"/>
              </w:rPr>
            </w:pPr>
            <w:r>
              <w:rPr>
                <w:color w:val="FF0000"/>
                <w:sz w:val="24"/>
                <w:szCs w:val="24"/>
                <w:lang w:val="en-US"/>
              </w:rPr>
              <w:t>7、标记</w:t>
            </w:r>
          </w:p>
          <w:p>
            <w:pPr>
              <w:tabs>
                <w:tab w:val="left" w:pos="1388"/>
              </w:tabs>
              <w:spacing w:line="316" w:lineRule="auto"/>
              <w:ind w:right="468"/>
              <w:jc w:val="both"/>
              <w:rPr>
                <w:color w:val="FF0000"/>
                <w:sz w:val="24"/>
                <w:szCs w:val="24"/>
                <w:lang w:val="en-US"/>
              </w:rPr>
            </w:pPr>
            <w:r>
              <w:rPr>
                <w:color w:val="FF0000"/>
                <w:sz w:val="24"/>
                <w:szCs w:val="24"/>
                <w:lang w:val="en-US"/>
              </w:rPr>
              <w:t xml:space="preserve">    镀锌钢管应注明国标标准编号和尺寸及厂家名称。</w:t>
            </w:r>
          </w:p>
          <w:p>
            <w:pPr>
              <w:tabs>
                <w:tab w:val="left" w:pos="1388"/>
              </w:tabs>
              <w:spacing w:line="316" w:lineRule="auto"/>
              <w:ind w:right="468"/>
              <w:jc w:val="both"/>
              <w:rPr>
                <w:color w:val="FF0000"/>
                <w:sz w:val="24"/>
                <w:szCs w:val="24"/>
                <w:lang w:val="en-US"/>
              </w:rPr>
            </w:pPr>
            <w:r>
              <w:rPr>
                <w:rFonts w:hint="eastAsia"/>
                <w:color w:val="FF0000"/>
                <w:sz w:val="24"/>
                <w:szCs w:val="24"/>
                <w:lang w:val="en-US"/>
              </w:rPr>
              <w:t>二、镀锌钢管质量技术要求：</w:t>
            </w:r>
          </w:p>
          <w:p>
            <w:pPr>
              <w:tabs>
                <w:tab w:val="left" w:pos="1388"/>
              </w:tabs>
              <w:spacing w:line="316" w:lineRule="auto"/>
              <w:ind w:right="468"/>
              <w:jc w:val="both"/>
              <w:rPr>
                <w:color w:val="FF0000"/>
                <w:sz w:val="24"/>
                <w:szCs w:val="24"/>
                <w:lang w:val="en-US"/>
              </w:rPr>
            </w:pPr>
            <w:r>
              <w:rPr>
                <w:color w:val="FF0000"/>
                <w:sz w:val="24"/>
                <w:szCs w:val="24"/>
                <w:lang w:val="en-US"/>
              </w:rPr>
              <w:t>1、牌号和化学成份</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镀锌钢管用钢的牌号和化学成分应符合</w:t>
            </w:r>
            <w:r>
              <w:rPr>
                <w:color w:val="FF0000"/>
                <w:sz w:val="24"/>
                <w:szCs w:val="24"/>
                <w:lang w:val="en-US"/>
              </w:rPr>
              <w:t>GB-3092所规定的黑管用钢的牌号和化学成份。</w:t>
            </w:r>
          </w:p>
          <w:p>
            <w:pPr>
              <w:tabs>
                <w:tab w:val="left" w:pos="1388"/>
              </w:tabs>
              <w:spacing w:line="316" w:lineRule="auto"/>
              <w:ind w:right="468"/>
              <w:jc w:val="both"/>
              <w:rPr>
                <w:color w:val="FF0000"/>
                <w:sz w:val="24"/>
                <w:szCs w:val="24"/>
                <w:lang w:val="en-US"/>
              </w:rPr>
            </w:pPr>
            <w:r>
              <w:rPr>
                <w:color w:val="FF0000"/>
                <w:sz w:val="24"/>
                <w:szCs w:val="24"/>
                <w:lang w:val="en-US"/>
              </w:rPr>
              <w:t>2、制造方法</w:t>
            </w:r>
          </w:p>
          <w:p>
            <w:pPr>
              <w:tabs>
                <w:tab w:val="left" w:pos="1388"/>
              </w:tabs>
              <w:spacing w:line="316" w:lineRule="auto"/>
              <w:ind w:right="468"/>
              <w:jc w:val="both"/>
              <w:rPr>
                <w:color w:val="FF0000"/>
                <w:sz w:val="24"/>
                <w:szCs w:val="24"/>
                <w:lang w:val="en-US"/>
              </w:rPr>
            </w:pPr>
            <w:r>
              <w:rPr>
                <w:rFonts w:hint="eastAsia"/>
                <w:color w:val="FF0000"/>
                <w:sz w:val="24"/>
                <w:szCs w:val="24"/>
                <w:lang w:val="en-US"/>
              </w:rPr>
              <w:t>黑管的制造方法（炉焊或电焊）由制造厂选择，镀锌采用热浸镀锌法。</w:t>
            </w:r>
          </w:p>
          <w:p>
            <w:pPr>
              <w:tabs>
                <w:tab w:val="left" w:pos="1388"/>
              </w:tabs>
              <w:spacing w:line="316" w:lineRule="auto"/>
              <w:ind w:right="468"/>
              <w:jc w:val="both"/>
              <w:rPr>
                <w:color w:val="FF0000"/>
                <w:sz w:val="24"/>
                <w:szCs w:val="24"/>
                <w:lang w:val="en-US"/>
              </w:rPr>
            </w:pPr>
            <w:r>
              <w:rPr>
                <w:color w:val="FF0000"/>
                <w:sz w:val="24"/>
                <w:szCs w:val="24"/>
                <w:lang w:val="en-US"/>
              </w:rPr>
              <w:t>3、交货状态</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镀锌钢管以不带螺纹交货。</w:t>
            </w:r>
          </w:p>
          <w:p>
            <w:pPr>
              <w:tabs>
                <w:tab w:val="left" w:pos="1388"/>
              </w:tabs>
              <w:spacing w:line="316" w:lineRule="auto"/>
              <w:ind w:right="468"/>
              <w:jc w:val="both"/>
              <w:rPr>
                <w:color w:val="FF0000"/>
                <w:sz w:val="24"/>
                <w:szCs w:val="24"/>
                <w:lang w:val="en-US"/>
              </w:rPr>
            </w:pPr>
            <w:r>
              <w:rPr>
                <w:color w:val="FF0000"/>
                <w:sz w:val="24"/>
                <w:szCs w:val="24"/>
                <w:lang w:val="en-US"/>
              </w:rPr>
              <w:t>4、螺纹及管接头</w:t>
            </w:r>
          </w:p>
          <w:p>
            <w:pPr>
              <w:tabs>
                <w:tab w:val="left" w:pos="1388"/>
              </w:tabs>
              <w:spacing w:line="316" w:lineRule="auto"/>
              <w:ind w:right="468"/>
              <w:jc w:val="both"/>
              <w:rPr>
                <w:color w:val="FF0000"/>
                <w:sz w:val="24"/>
                <w:szCs w:val="24"/>
                <w:lang w:val="en-US"/>
              </w:rPr>
            </w:pPr>
            <w:r>
              <w:rPr>
                <w:rFonts w:hint="eastAsia"/>
                <w:color w:val="FF0000"/>
                <w:sz w:val="24"/>
                <w:szCs w:val="24"/>
                <w:lang w:val="en-US"/>
              </w:rPr>
              <w:t>（</w:t>
            </w:r>
            <w:r>
              <w:rPr>
                <w:color w:val="FF0000"/>
                <w:sz w:val="24"/>
                <w:szCs w:val="24"/>
                <w:lang w:val="en-US"/>
              </w:rPr>
              <w:t>1） 带螺纹交货的镀锌钢管，螺纹应在镀锌后车制。螺纹应符合YB822的规定。</w:t>
            </w:r>
          </w:p>
          <w:p>
            <w:pPr>
              <w:tabs>
                <w:tab w:val="left" w:pos="1388"/>
              </w:tabs>
              <w:spacing w:line="316" w:lineRule="auto"/>
              <w:ind w:right="468"/>
              <w:jc w:val="both"/>
              <w:rPr>
                <w:color w:val="FF0000"/>
                <w:sz w:val="24"/>
                <w:szCs w:val="24"/>
                <w:lang w:val="en-US"/>
              </w:rPr>
            </w:pPr>
            <w:r>
              <w:rPr>
                <w:rFonts w:hint="eastAsia"/>
                <w:color w:val="FF0000"/>
                <w:sz w:val="24"/>
                <w:szCs w:val="24"/>
                <w:lang w:val="en-US"/>
              </w:rPr>
              <w:t>（</w:t>
            </w:r>
            <w:r>
              <w:rPr>
                <w:color w:val="FF0000"/>
                <w:sz w:val="24"/>
                <w:szCs w:val="24"/>
                <w:lang w:val="en-US"/>
              </w:rPr>
              <w:t>2） 钢制管接头应符合YB238的规定，可铸铁管接头应符合YB230的规定。</w:t>
            </w:r>
          </w:p>
          <w:p>
            <w:pPr>
              <w:tabs>
                <w:tab w:val="left" w:pos="1388"/>
              </w:tabs>
              <w:spacing w:line="316" w:lineRule="auto"/>
              <w:ind w:right="468"/>
              <w:jc w:val="both"/>
              <w:rPr>
                <w:color w:val="FF0000"/>
                <w:sz w:val="24"/>
                <w:szCs w:val="24"/>
                <w:lang w:val="en-US"/>
              </w:rPr>
            </w:pPr>
            <w:r>
              <w:rPr>
                <w:color w:val="FF0000"/>
                <w:sz w:val="24"/>
                <w:szCs w:val="24"/>
                <w:lang w:val="en-US"/>
              </w:rPr>
              <w:t>5、力学性能</w:t>
            </w:r>
          </w:p>
          <w:p>
            <w:pPr>
              <w:tabs>
                <w:tab w:val="left" w:pos="1388"/>
              </w:tabs>
              <w:spacing w:line="316" w:lineRule="auto"/>
              <w:ind w:right="468"/>
              <w:jc w:val="both"/>
              <w:rPr>
                <w:color w:val="FF0000"/>
                <w:sz w:val="24"/>
                <w:szCs w:val="24"/>
                <w:lang w:val="en-US"/>
              </w:rPr>
            </w:pPr>
            <w:r>
              <w:rPr>
                <w:rFonts w:hint="eastAsia"/>
                <w:color w:val="FF0000"/>
                <w:sz w:val="24"/>
                <w:szCs w:val="24"/>
                <w:lang w:val="en-US"/>
              </w:rPr>
              <w:t>钢管镀锌前的力学性能应符合</w:t>
            </w:r>
            <w:r>
              <w:rPr>
                <w:color w:val="FF0000"/>
                <w:sz w:val="24"/>
                <w:szCs w:val="24"/>
                <w:lang w:val="en-US"/>
              </w:rPr>
              <w:t>GB3092的规定。</w:t>
            </w:r>
          </w:p>
          <w:p>
            <w:pPr>
              <w:tabs>
                <w:tab w:val="left" w:pos="1388"/>
              </w:tabs>
              <w:spacing w:line="316" w:lineRule="auto"/>
              <w:ind w:right="468"/>
              <w:jc w:val="both"/>
              <w:rPr>
                <w:color w:val="FF0000"/>
                <w:sz w:val="24"/>
                <w:szCs w:val="24"/>
                <w:lang w:val="en-US"/>
              </w:rPr>
            </w:pPr>
            <w:r>
              <w:rPr>
                <w:color w:val="FF0000"/>
                <w:sz w:val="24"/>
                <w:szCs w:val="24"/>
                <w:lang w:val="en-US"/>
              </w:rPr>
              <w:t>6、镀锌层的均匀性</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镀锌钢管应做镀锌层均匀性的试验，钢管试样在硫酸铜溶液中连续浸渍</w:t>
            </w:r>
            <w:r>
              <w:rPr>
                <w:color w:val="FF0000"/>
                <w:sz w:val="24"/>
                <w:szCs w:val="24"/>
                <w:lang w:val="en-US"/>
              </w:rPr>
              <w:t>5次不得变红。</w:t>
            </w:r>
          </w:p>
          <w:p>
            <w:pPr>
              <w:tabs>
                <w:tab w:val="left" w:pos="1388"/>
              </w:tabs>
              <w:spacing w:line="316" w:lineRule="auto"/>
              <w:ind w:right="468"/>
              <w:jc w:val="both"/>
              <w:rPr>
                <w:color w:val="FF0000"/>
                <w:sz w:val="24"/>
                <w:szCs w:val="24"/>
                <w:lang w:val="en-US"/>
              </w:rPr>
            </w:pPr>
            <w:r>
              <w:rPr>
                <w:color w:val="FF0000"/>
                <w:sz w:val="24"/>
                <w:szCs w:val="24"/>
                <w:lang w:val="en-US"/>
              </w:rPr>
              <w:t>7、冷弯曲试验</w:t>
            </w:r>
          </w:p>
          <w:p>
            <w:pPr>
              <w:tabs>
                <w:tab w:val="left" w:pos="1388"/>
              </w:tabs>
              <w:spacing w:line="316" w:lineRule="auto"/>
              <w:ind w:right="468"/>
              <w:jc w:val="both"/>
              <w:rPr>
                <w:color w:val="FF0000"/>
                <w:sz w:val="24"/>
                <w:szCs w:val="24"/>
                <w:lang w:val="en-US"/>
              </w:rPr>
            </w:pPr>
            <w:r>
              <w:rPr>
                <w:rFonts w:hint="eastAsia"/>
                <w:color w:val="FF0000"/>
                <w:sz w:val="24"/>
                <w:szCs w:val="24"/>
                <w:lang w:val="en-US"/>
              </w:rPr>
              <w:t>公称口径不大于</w:t>
            </w:r>
            <w:r>
              <w:rPr>
                <w:color w:val="FF0000"/>
                <w:sz w:val="24"/>
                <w:szCs w:val="24"/>
                <w:lang w:val="en-US"/>
              </w:rPr>
              <w:t>50mm的镀锌钢管应做冷弯曲试验。弯曲角度为90。，弯曲半径为外径的8倍。试验时不带填充物，试样焊缝处应置于弯曲方向的外侧或上部。试验后，试样上不应有裂缝及锌层剥落现象。</w:t>
            </w:r>
          </w:p>
          <w:p>
            <w:pPr>
              <w:tabs>
                <w:tab w:val="left" w:pos="1388"/>
              </w:tabs>
              <w:spacing w:line="316" w:lineRule="auto"/>
              <w:ind w:right="468"/>
              <w:jc w:val="both"/>
              <w:rPr>
                <w:color w:val="FF0000"/>
                <w:sz w:val="24"/>
                <w:szCs w:val="24"/>
                <w:lang w:val="en-US"/>
              </w:rPr>
            </w:pPr>
            <w:r>
              <w:rPr>
                <w:color w:val="FF0000"/>
                <w:sz w:val="24"/>
                <w:szCs w:val="24"/>
                <w:lang w:val="en-US"/>
              </w:rPr>
              <w:t>8、水压试验</w:t>
            </w:r>
          </w:p>
          <w:p>
            <w:pPr>
              <w:tabs>
                <w:tab w:val="left" w:pos="1388"/>
              </w:tabs>
              <w:spacing w:line="316" w:lineRule="auto"/>
              <w:ind w:right="468"/>
              <w:jc w:val="both"/>
              <w:rPr>
                <w:color w:val="FF0000"/>
                <w:sz w:val="24"/>
                <w:szCs w:val="24"/>
                <w:lang w:val="en-US"/>
              </w:rPr>
            </w:pPr>
            <w:r>
              <w:rPr>
                <w:rFonts w:hint="eastAsia"/>
                <w:color w:val="FF0000"/>
                <w:sz w:val="24"/>
                <w:szCs w:val="24"/>
                <w:lang w:val="en-US"/>
              </w:rPr>
              <w:t>水压试验应在黑管进行，也可用涡流探伤代替水压试验。试验压力及涡流探伤对比试样尺寸应符合国标</w:t>
            </w:r>
            <w:r>
              <w:rPr>
                <w:color w:val="FF0000"/>
                <w:sz w:val="24"/>
                <w:szCs w:val="24"/>
                <w:lang w:val="en-US"/>
              </w:rPr>
              <w:t>GB3092的规定。</w:t>
            </w:r>
          </w:p>
          <w:p>
            <w:pPr>
              <w:tabs>
                <w:tab w:val="left" w:pos="1388"/>
              </w:tabs>
              <w:spacing w:line="316" w:lineRule="auto"/>
              <w:ind w:right="468"/>
              <w:jc w:val="both"/>
              <w:rPr>
                <w:color w:val="FF0000"/>
                <w:sz w:val="24"/>
                <w:szCs w:val="24"/>
                <w:lang w:val="en-US"/>
              </w:rPr>
            </w:pPr>
            <w:r>
              <w:rPr>
                <w:color w:val="FF0000"/>
                <w:sz w:val="24"/>
                <w:szCs w:val="24"/>
                <w:lang w:val="en-US"/>
              </w:rPr>
              <w:t>9、表面质量</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镀锌钢管的内外表面应有完整层，不得有未镀上锌的黑斑和气泡存在。允许有不大的粗糙面和局部的锌瘤存在。</w:t>
            </w:r>
          </w:p>
          <w:p>
            <w:pPr>
              <w:tabs>
                <w:tab w:val="left" w:pos="1388"/>
              </w:tabs>
              <w:spacing w:line="316" w:lineRule="auto"/>
              <w:ind w:right="468"/>
              <w:jc w:val="both"/>
              <w:rPr>
                <w:color w:val="FF0000"/>
                <w:sz w:val="24"/>
                <w:szCs w:val="24"/>
                <w:lang w:val="en-US"/>
              </w:rPr>
            </w:pPr>
            <w:r>
              <w:rPr>
                <w:color w:val="FF0000"/>
                <w:sz w:val="24"/>
                <w:szCs w:val="24"/>
                <w:lang w:val="en-US"/>
              </w:rPr>
              <w:t>10、镀锌层重量</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镀锌层重量平均值应不小于</w:t>
            </w:r>
            <w:r>
              <w:rPr>
                <w:color w:val="FF0000"/>
                <w:sz w:val="24"/>
                <w:szCs w:val="24"/>
                <w:lang w:val="en-US"/>
              </w:rPr>
              <w:t>500g/㎡，其中任何一个试样不得小于480g/㎡。</w:t>
            </w:r>
          </w:p>
          <w:p>
            <w:pPr>
              <w:tabs>
                <w:tab w:val="left" w:pos="1388"/>
              </w:tabs>
              <w:spacing w:line="316" w:lineRule="auto"/>
              <w:ind w:right="468"/>
              <w:jc w:val="both"/>
              <w:rPr>
                <w:color w:val="FF0000"/>
                <w:sz w:val="24"/>
                <w:szCs w:val="24"/>
                <w:lang w:val="en-US"/>
              </w:rPr>
            </w:pPr>
            <w:r>
              <w:rPr>
                <w:rFonts w:hint="eastAsia"/>
                <w:color w:val="FF0000"/>
                <w:sz w:val="24"/>
                <w:szCs w:val="24"/>
                <w:lang w:val="en-US"/>
              </w:rPr>
              <w:t>三、试验方法：</w:t>
            </w:r>
          </w:p>
          <w:p>
            <w:pPr>
              <w:tabs>
                <w:tab w:val="left" w:pos="1388"/>
              </w:tabs>
              <w:spacing w:line="316" w:lineRule="auto"/>
              <w:ind w:right="468"/>
              <w:jc w:val="both"/>
              <w:rPr>
                <w:color w:val="FF0000"/>
                <w:sz w:val="24"/>
                <w:szCs w:val="24"/>
                <w:lang w:val="en-US"/>
              </w:rPr>
            </w:pPr>
            <w:r>
              <w:rPr>
                <w:color w:val="FF0000"/>
                <w:sz w:val="24"/>
                <w:szCs w:val="24"/>
                <w:lang w:val="en-US"/>
              </w:rPr>
              <w:t>1、表面检查</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镀锌钢管的内外表面应用肉眼逐根进行检查。</w:t>
            </w:r>
          </w:p>
          <w:p>
            <w:pPr>
              <w:tabs>
                <w:tab w:val="left" w:pos="1388"/>
              </w:tabs>
              <w:spacing w:line="316" w:lineRule="auto"/>
              <w:ind w:right="468"/>
              <w:jc w:val="both"/>
              <w:rPr>
                <w:color w:val="FF0000"/>
                <w:sz w:val="24"/>
                <w:szCs w:val="24"/>
                <w:lang w:val="en-US"/>
              </w:rPr>
            </w:pPr>
            <w:r>
              <w:rPr>
                <w:color w:val="FF0000"/>
                <w:sz w:val="24"/>
                <w:szCs w:val="24"/>
                <w:lang w:val="en-US"/>
              </w:rPr>
              <w:t>2、尺寸检查</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镀锌钢管应在镀锌前的黑管上用足够精确度的量具逐根进行测量。</w:t>
            </w:r>
          </w:p>
          <w:p>
            <w:pPr>
              <w:tabs>
                <w:tab w:val="left" w:pos="1388"/>
              </w:tabs>
              <w:spacing w:line="316" w:lineRule="auto"/>
              <w:ind w:right="468"/>
              <w:jc w:val="both"/>
              <w:rPr>
                <w:color w:val="FF0000"/>
                <w:sz w:val="24"/>
                <w:szCs w:val="24"/>
                <w:lang w:val="en-US"/>
              </w:rPr>
            </w:pPr>
            <w:r>
              <w:rPr>
                <w:color w:val="FF0000"/>
                <w:sz w:val="24"/>
                <w:szCs w:val="24"/>
                <w:lang w:val="en-US"/>
              </w:rPr>
              <w:t>3、螺纹检查</w:t>
            </w:r>
          </w:p>
          <w:p>
            <w:pPr>
              <w:tabs>
                <w:tab w:val="left" w:pos="1388"/>
              </w:tabs>
              <w:spacing w:line="316" w:lineRule="auto"/>
              <w:ind w:right="468"/>
              <w:jc w:val="both"/>
              <w:rPr>
                <w:color w:val="FF0000"/>
                <w:sz w:val="24"/>
                <w:szCs w:val="24"/>
                <w:lang w:val="en-US"/>
              </w:rPr>
            </w:pPr>
            <w:r>
              <w:rPr>
                <w:rFonts w:hint="eastAsia"/>
                <w:color w:val="FF0000"/>
                <w:sz w:val="24"/>
                <w:szCs w:val="24"/>
                <w:lang w:val="en-US"/>
              </w:rPr>
              <w:t>带螺纹的镀锌钢管，按</w:t>
            </w:r>
            <w:r>
              <w:rPr>
                <w:color w:val="FF0000"/>
                <w:sz w:val="24"/>
                <w:szCs w:val="24"/>
                <w:lang w:val="en-US"/>
              </w:rPr>
              <w:t>YB822的规定，用环规逐根检查螺纹。</w:t>
            </w:r>
          </w:p>
          <w:p>
            <w:pPr>
              <w:tabs>
                <w:tab w:val="left" w:pos="1388"/>
              </w:tabs>
              <w:spacing w:line="316" w:lineRule="auto"/>
              <w:ind w:right="468"/>
              <w:jc w:val="both"/>
              <w:rPr>
                <w:color w:val="FF0000"/>
                <w:sz w:val="24"/>
                <w:szCs w:val="24"/>
                <w:lang w:val="en-US"/>
              </w:rPr>
            </w:pPr>
            <w:r>
              <w:rPr>
                <w:rFonts w:hint="eastAsia"/>
                <w:color w:val="FF0000"/>
                <w:sz w:val="24"/>
                <w:szCs w:val="24"/>
                <w:lang w:val="en-US"/>
              </w:rPr>
              <w:t>四、检验规则：</w:t>
            </w:r>
          </w:p>
          <w:p>
            <w:pPr>
              <w:tabs>
                <w:tab w:val="left" w:pos="1388"/>
              </w:tabs>
              <w:spacing w:line="316" w:lineRule="auto"/>
              <w:ind w:right="468"/>
              <w:jc w:val="both"/>
              <w:rPr>
                <w:color w:val="FF0000"/>
                <w:sz w:val="24"/>
                <w:szCs w:val="24"/>
                <w:lang w:val="en-US"/>
              </w:rPr>
            </w:pPr>
            <w:r>
              <w:rPr>
                <w:color w:val="FF0000"/>
                <w:sz w:val="24"/>
                <w:szCs w:val="24"/>
                <w:lang w:val="en-US"/>
              </w:rPr>
              <w:t>1、镀锌钢管按批进行检查和验收，每批由同一牌号、同一规格的钢管组成</w:t>
            </w:r>
          </w:p>
          <w:p>
            <w:pPr>
              <w:tabs>
                <w:tab w:val="left" w:pos="1388"/>
              </w:tabs>
              <w:spacing w:line="316" w:lineRule="auto"/>
              <w:ind w:right="468"/>
              <w:jc w:val="both"/>
              <w:rPr>
                <w:color w:val="FF0000"/>
                <w:sz w:val="24"/>
                <w:szCs w:val="24"/>
                <w:lang w:val="en-US"/>
              </w:rPr>
            </w:pPr>
            <w:r>
              <w:rPr>
                <w:rFonts w:hint="eastAsia"/>
                <w:color w:val="FF0000"/>
                <w:sz w:val="24"/>
                <w:szCs w:val="24"/>
                <w:lang w:val="en-US"/>
              </w:rPr>
              <w:t>公称口径≤</w:t>
            </w:r>
            <w:r>
              <w:rPr>
                <w:color w:val="FF0000"/>
                <w:sz w:val="24"/>
                <w:szCs w:val="24"/>
                <w:lang w:val="en-US"/>
              </w:rPr>
              <w:t>25mm     每批1000根</w:t>
            </w:r>
          </w:p>
          <w:p>
            <w:pPr>
              <w:tabs>
                <w:tab w:val="left" w:pos="1388"/>
              </w:tabs>
              <w:spacing w:line="316" w:lineRule="auto"/>
              <w:ind w:right="468"/>
              <w:jc w:val="both"/>
              <w:rPr>
                <w:color w:val="FF0000"/>
                <w:sz w:val="24"/>
                <w:szCs w:val="24"/>
                <w:lang w:val="en-US"/>
              </w:rPr>
            </w:pPr>
            <w:r>
              <w:rPr>
                <w:rFonts w:hint="eastAsia"/>
                <w:color w:val="FF0000"/>
                <w:sz w:val="24"/>
                <w:szCs w:val="24"/>
                <w:lang w:val="en-US"/>
              </w:rPr>
              <w:t>公称口径</w:t>
            </w:r>
            <w:r>
              <w:rPr>
                <w:color w:val="FF0000"/>
                <w:sz w:val="24"/>
                <w:szCs w:val="24"/>
                <w:lang w:val="en-US"/>
              </w:rPr>
              <w:t>&gt;m25~50m   每批750根</w:t>
            </w:r>
          </w:p>
          <w:p>
            <w:pPr>
              <w:tabs>
                <w:tab w:val="left" w:pos="1388"/>
              </w:tabs>
              <w:spacing w:line="316" w:lineRule="auto"/>
              <w:ind w:right="468"/>
              <w:jc w:val="both"/>
              <w:rPr>
                <w:color w:val="FF0000"/>
                <w:sz w:val="24"/>
                <w:szCs w:val="24"/>
                <w:lang w:val="en-US"/>
              </w:rPr>
            </w:pPr>
            <w:r>
              <w:rPr>
                <w:rFonts w:hint="eastAsia"/>
                <w:color w:val="FF0000"/>
                <w:sz w:val="24"/>
                <w:szCs w:val="24"/>
                <w:lang w:val="en-US"/>
              </w:rPr>
              <w:t>公称口径</w:t>
            </w:r>
            <w:r>
              <w:rPr>
                <w:color w:val="FF0000"/>
                <w:sz w:val="24"/>
                <w:szCs w:val="24"/>
                <w:lang w:val="en-US"/>
              </w:rPr>
              <w:t>&gt;50mm      每批500根</w:t>
            </w:r>
          </w:p>
          <w:p>
            <w:pPr>
              <w:tabs>
                <w:tab w:val="left" w:pos="1388"/>
              </w:tabs>
              <w:spacing w:line="316" w:lineRule="auto"/>
              <w:ind w:right="468"/>
              <w:jc w:val="both"/>
              <w:rPr>
                <w:color w:val="FF0000"/>
                <w:sz w:val="24"/>
                <w:szCs w:val="24"/>
                <w:lang w:val="en-US"/>
              </w:rPr>
            </w:pPr>
            <w:r>
              <w:rPr>
                <w:color w:val="FF0000"/>
                <w:sz w:val="24"/>
                <w:szCs w:val="24"/>
                <w:lang w:val="en-US"/>
              </w:rPr>
              <w:t>2、复验和判定</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镀锌钢管的复验和判定规则应符合</w:t>
            </w:r>
            <w:r>
              <w:rPr>
                <w:color w:val="FF0000"/>
                <w:sz w:val="24"/>
                <w:szCs w:val="24"/>
                <w:lang w:val="en-US"/>
              </w:rPr>
              <w:t>GB2102的规定。</w:t>
            </w:r>
          </w:p>
          <w:p>
            <w:pPr>
              <w:tabs>
                <w:tab w:val="left" w:pos="1388"/>
              </w:tabs>
              <w:spacing w:line="316" w:lineRule="auto"/>
              <w:ind w:right="468"/>
              <w:jc w:val="both"/>
              <w:rPr>
                <w:color w:val="FF0000"/>
                <w:sz w:val="24"/>
                <w:szCs w:val="24"/>
                <w:lang w:val="en-US"/>
              </w:rPr>
            </w:pPr>
            <w:r>
              <w:rPr>
                <w:rFonts w:hint="eastAsia"/>
                <w:color w:val="FF0000"/>
                <w:sz w:val="24"/>
                <w:szCs w:val="24"/>
                <w:lang w:val="en-US"/>
              </w:rPr>
              <w:t>五、包装、标注及质量证明书</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镀锌钢管的包装、标志及质量证明书应符合</w:t>
            </w:r>
            <w:r>
              <w:rPr>
                <w:color w:val="FF0000"/>
                <w:sz w:val="24"/>
                <w:szCs w:val="24"/>
                <w:lang w:val="en-US"/>
              </w:rPr>
              <w:t>GB2102的规定。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7</w:t>
            </w:r>
          </w:p>
        </w:tc>
        <w:tc>
          <w:tcPr>
            <w:tcW w:w="963" w:type="dxa"/>
            <w:vAlign w:val="center"/>
          </w:tcPr>
          <w:p>
            <w:pPr>
              <w:spacing w:line="360" w:lineRule="auto"/>
              <w:jc w:val="center"/>
              <w:rPr>
                <w:sz w:val="24"/>
                <w:szCs w:val="24"/>
                <w:lang w:val="en-US"/>
              </w:rPr>
            </w:pPr>
            <w:r>
              <w:rPr>
                <w:rFonts w:hint="eastAsia"/>
                <w:sz w:val="24"/>
                <w:szCs w:val="24"/>
                <w:lang w:val="en-US"/>
              </w:rPr>
              <w:t>投标截止时间</w:t>
            </w:r>
          </w:p>
        </w:tc>
        <w:tc>
          <w:tcPr>
            <w:tcW w:w="7170" w:type="dxa"/>
            <w:vAlign w:val="center"/>
          </w:tcPr>
          <w:p>
            <w:pPr>
              <w:spacing w:line="360" w:lineRule="auto"/>
              <w:jc w:val="both"/>
              <w:rPr>
                <w:sz w:val="24"/>
                <w:szCs w:val="24"/>
                <w:lang w:val="en-US"/>
              </w:rPr>
            </w:pPr>
            <w:r>
              <w:rPr>
                <w:rFonts w:hint="eastAsia"/>
                <w:sz w:val="24"/>
                <w:szCs w:val="24"/>
                <w:lang w:val="en-US"/>
              </w:rPr>
              <w:t>2022年5月24日上午9：00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8</w:t>
            </w:r>
          </w:p>
        </w:tc>
        <w:tc>
          <w:tcPr>
            <w:tcW w:w="963" w:type="dxa"/>
            <w:vAlign w:val="center"/>
          </w:tcPr>
          <w:p>
            <w:pPr>
              <w:spacing w:line="360" w:lineRule="auto"/>
              <w:jc w:val="center"/>
              <w:rPr>
                <w:sz w:val="24"/>
                <w:szCs w:val="24"/>
                <w:lang w:val="en-US"/>
              </w:rPr>
            </w:pPr>
            <w:r>
              <w:rPr>
                <w:rFonts w:hint="eastAsia"/>
                <w:sz w:val="24"/>
                <w:szCs w:val="24"/>
                <w:lang w:val="en-US"/>
              </w:rPr>
              <w:t>开标时间</w:t>
            </w:r>
          </w:p>
        </w:tc>
        <w:tc>
          <w:tcPr>
            <w:tcW w:w="7170" w:type="dxa"/>
            <w:vAlign w:val="center"/>
          </w:tcPr>
          <w:p>
            <w:pPr>
              <w:widowControl/>
              <w:spacing w:line="360" w:lineRule="auto"/>
              <w:jc w:val="left"/>
              <w:rPr>
                <w:sz w:val="24"/>
                <w:szCs w:val="24"/>
                <w:lang w:val="en-US"/>
              </w:rPr>
            </w:pPr>
            <w:r>
              <w:rPr>
                <w:rFonts w:hint="eastAsia"/>
                <w:color w:val="000000"/>
                <w:sz w:val="24"/>
                <w:szCs w:val="24"/>
                <w:lang w:val="en-US"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9</w:t>
            </w:r>
          </w:p>
        </w:tc>
        <w:tc>
          <w:tcPr>
            <w:tcW w:w="963" w:type="dxa"/>
            <w:vAlign w:val="center"/>
          </w:tcPr>
          <w:p>
            <w:pPr>
              <w:spacing w:line="360" w:lineRule="auto"/>
              <w:jc w:val="center"/>
              <w:rPr>
                <w:sz w:val="24"/>
                <w:szCs w:val="24"/>
                <w:lang w:val="en-US"/>
              </w:rPr>
            </w:pPr>
            <w:r>
              <w:rPr>
                <w:rFonts w:hint="eastAsia"/>
                <w:sz w:val="24"/>
                <w:szCs w:val="24"/>
                <w:lang w:val="en-US"/>
              </w:rPr>
              <w:t>开标地点</w:t>
            </w:r>
          </w:p>
        </w:tc>
        <w:tc>
          <w:tcPr>
            <w:tcW w:w="7170" w:type="dxa"/>
            <w:vAlign w:val="center"/>
          </w:tcPr>
          <w:p>
            <w:pPr>
              <w:spacing w:line="360" w:lineRule="auto"/>
              <w:jc w:val="both"/>
              <w:rPr>
                <w:sz w:val="24"/>
                <w:szCs w:val="24"/>
                <w:lang w:val="en-US"/>
              </w:rPr>
            </w:pPr>
            <w:r>
              <w:rPr>
                <w:rFonts w:hint="eastAsia"/>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10</w:t>
            </w:r>
          </w:p>
        </w:tc>
        <w:tc>
          <w:tcPr>
            <w:tcW w:w="963" w:type="dxa"/>
            <w:vAlign w:val="center"/>
          </w:tcPr>
          <w:p>
            <w:pPr>
              <w:spacing w:line="360" w:lineRule="auto"/>
              <w:jc w:val="center"/>
              <w:rPr>
                <w:sz w:val="24"/>
                <w:szCs w:val="24"/>
                <w:lang w:val="en-US"/>
              </w:rPr>
            </w:pPr>
            <w:r>
              <w:rPr>
                <w:rFonts w:hint="eastAsia"/>
                <w:sz w:val="24"/>
                <w:szCs w:val="24"/>
                <w:lang w:val="en-US"/>
              </w:rPr>
              <w:t>评标委组成</w:t>
            </w:r>
          </w:p>
        </w:tc>
        <w:tc>
          <w:tcPr>
            <w:tcW w:w="7170" w:type="dxa"/>
            <w:vAlign w:val="center"/>
          </w:tcPr>
          <w:p>
            <w:pPr>
              <w:spacing w:line="360" w:lineRule="auto"/>
              <w:jc w:val="both"/>
              <w:rPr>
                <w:sz w:val="24"/>
                <w:szCs w:val="24"/>
                <w:lang w:val="en-US"/>
              </w:rPr>
            </w:pPr>
            <w:r>
              <w:rPr>
                <w:rFonts w:hint="eastAsia"/>
                <w:sz w:val="24"/>
                <w:szCs w:val="24"/>
                <w:lang w:val="en-US"/>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11</w:t>
            </w:r>
          </w:p>
        </w:tc>
        <w:tc>
          <w:tcPr>
            <w:tcW w:w="963" w:type="dxa"/>
            <w:vAlign w:val="center"/>
          </w:tcPr>
          <w:p>
            <w:pPr>
              <w:spacing w:line="360" w:lineRule="auto"/>
              <w:jc w:val="center"/>
              <w:rPr>
                <w:sz w:val="24"/>
                <w:szCs w:val="24"/>
                <w:lang w:val="en-US"/>
              </w:rPr>
            </w:pPr>
            <w:r>
              <w:rPr>
                <w:rFonts w:hint="eastAsia"/>
                <w:sz w:val="24"/>
                <w:szCs w:val="24"/>
                <w:lang w:val="en-US"/>
              </w:rPr>
              <w:t>付款方式</w:t>
            </w:r>
          </w:p>
        </w:tc>
        <w:tc>
          <w:tcPr>
            <w:tcW w:w="7170" w:type="dxa"/>
          </w:tcPr>
          <w:tbl>
            <w:tblPr>
              <w:tblW w:w="774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
              <w:gridCol w:w="1605"/>
              <w:gridCol w:w="1611"/>
              <w:gridCol w:w="2029"/>
              <w:gridCol w:w="1611"/>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trHeight w:val="360" w:hRule="atLeast"/>
              </w:trPr>
              <w:tc>
                <w:tcPr>
                  <w:tcW w:w="7740" w:type="dxa"/>
                  <w:gridSpan w:val="5"/>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付款方式（</w:t>
                  </w:r>
                  <w:r>
                    <w:rPr>
                      <w:rFonts w:hint="eastAsia" w:cs="宋体"/>
                      <w:i w:val="0"/>
                      <w:iCs w:val="0"/>
                      <w:color w:val="000000"/>
                      <w:kern w:val="0"/>
                      <w:sz w:val="22"/>
                      <w:szCs w:val="22"/>
                      <w:u w:val="none"/>
                      <w:bdr w:val="none" w:color="auto" w:sz="0" w:space="0"/>
                      <w:lang w:val="en-US" w:eastAsia="zh-CN" w:bidi="ar"/>
                    </w:rPr>
                    <w:t>一年期银行承兑</w:t>
                  </w:r>
                  <w:bookmarkStart w:id="11" w:name="_GoBack"/>
                  <w:bookmarkEnd w:id="11"/>
                  <w:r>
                    <w:rPr>
                      <w:rFonts w:hint="eastAsia" w:ascii="宋体" w:hAnsi="宋体" w:eastAsia="宋体" w:cs="宋体"/>
                      <w:i w:val="0"/>
                      <w:iCs w:val="0"/>
                      <w:color w:val="000000"/>
                      <w:kern w:val="0"/>
                      <w:sz w:val="22"/>
                      <w:szCs w:val="22"/>
                      <w:u w:val="none"/>
                      <w:bdr w:val="none" w:color="auto" w:sz="0" w:space="0"/>
                      <w:lang w:val="en-US" w:eastAsia="zh-CN" w:bidi="ar"/>
                    </w:rPr>
                    <w:t>转账支付）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年度（总比例）</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付款节点</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付款比例基数</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付款比例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供货年度（50%）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端午节</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端午节之前发生货款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5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中秋节</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端午节至中秋节之间发生货款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58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春节</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中秋节至春节之间发生货款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9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供货完毕</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供货完毕上一个付款节点至供货完毕之间发生货款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供货项目竣工后第一年（30%）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供货项目竣工后第二年（20%）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合计(100%)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bl>
          <w:p>
            <w:pPr>
              <w:pStyle w:val="16"/>
              <w:tabs>
                <w:tab w:val="left" w:pos="1388"/>
              </w:tabs>
              <w:spacing w:line="316" w:lineRule="auto"/>
              <w:ind w:left="0" w:right="468" w:firstLine="0"/>
              <w:jc w:val="both"/>
              <w:rPr>
                <w:rFonts w:eastAsiaTheme="minorEastAsia"/>
                <w:b/>
                <w:bCs/>
                <w:i/>
                <w:i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12</w:t>
            </w:r>
          </w:p>
        </w:tc>
        <w:tc>
          <w:tcPr>
            <w:tcW w:w="963" w:type="dxa"/>
            <w:vAlign w:val="center"/>
          </w:tcPr>
          <w:p>
            <w:pPr>
              <w:spacing w:line="360" w:lineRule="auto"/>
              <w:jc w:val="center"/>
              <w:rPr>
                <w:rFonts w:eastAsiaTheme="minorEastAsia"/>
                <w:sz w:val="24"/>
                <w:szCs w:val="24"/>
                <w:lang w:val="en-US"/>
              </w:rPr>
            </w:pPr>
            <w:r>
              <w:rPr>
                <w:rFonts w:hint="eastAsia"/>
                <w:sz w:val="24"/>
                <w:szCs w:val="24"/>
                <w:lang w:val="en-US"/>
              </w:rPr>
              <w:t>税率</w:t>
            </w:r>
          </w:p>
        </w:tc>
        <w:tc>
          <w:tcPr>
            <w:tcW w:w="7170" w:type="dxa"/>
            <w:vAlign w:val="center"/>
          </w:tcPr>
          <w:p>
            <w:pPr>
              <w:spacing w:line="360" w:lineRule="auto"/>
              <w:jc w:val="both"/>
              <w:rPr>
                <w:rFonts w:eastAsiaTheme="minorEastAsia"/>
                <w:sz w:val="24"/>
                <w:szCs w:val="24"/>
                <w:lang w:val="en-US"/>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13</w:t>
            </w:r>
          </w:p>
        </w:tc>
        <w:tc>
          <w:tcPr>
            <w:tcW w:w="963" w:type="dxa"/>
            <w:vAlign w:val="center"/>
          </w:tcPr>
          <w:p>
            <w:pPr>
              <w:spacing w:line="360" w:lineRule="auto"/>
              <w:jc w:val="center"/>
              <w:rPr>
                <w:rFonts w:asciiTheme="minorHAnsi" w:hAnsiTheme="minorHAnsi" w:eastAsiaTheme="minorEastAsia" w:cstheme="minorBidi"/>
                <w:kern w:val="2"/>
                <w:sz w:val="24"/>
                <w:szCs w:val="24"/>
                <w:lang w:val="en-US" w:bidi="ar-SA"/>
              </w:rPr>
            </w:pPr>
            <w:r>
              <w:rPr>
                <w:rFonts w:hint="eastAsia" w:cstheme="minorBidi"/>
                <w:kern w:val="2"/>
                <w:sz w:val="24"/>
                <w:szCs w:val="24"/>
                <w:lang w:val="en-US" w:bidi="ar-SA"/>
              </w:rPr>
              <w:t>报价方式</w:t>
            </w:r>
          </w:p>
        </w:tc>
        <w:tc>
          <w:tcPr>
            <w:tcW w:w="7170" w:type="dxa"/>
            <w:vAlign w:val="center"/>
          </w:tcPr>
          <w:p>
            <w:pPr>
              <w:spacing w:line="360" w:lineRule="auto"/>
              <w:jc w:val="both"/>
              <w:rPr>
                <w:rFonts w:asciiTheme="minorHAnsi" w:hAnsiTheme="minorHAnsi" w:eastAsiaTheme="minorEastAsia" w:cstheme="minorBidi"/>
                <w:kern w:val="2"/>
                <w:sz w:val="24"/>
                <w:szCs w:val="24"/>
                <w:lang w:val="en-US"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15</w:t>
            </w:r>
          </w:p>
        </w:tc>
        <w:tc>
          <w:tcPr>
            <w:tcW w:w="963" w:type="dxa"/>
            <w:vAlign w:val="center"/>
          </w:tcPr>
          <w:p>
            <w:pPr>
              <w:spacing w:line="360" w:lineRule="auto"/>
              <w:jc w:val="center"/>
              <w:rPr>
                <w:rFonts w:eastAsiaTheme="minorEastAsia"/>
                <w:sz w:val="24"/>
                <w:szCs w:val="24"/>
                <w:lang w:val="en-US"/>
              </w:rPr>
            </w:pPr>
            <w:r>
              <w:rPr>
                <w:rFonts w:hint="eastAsia"/>
                <w:sz w:val="24"/>
                <w:szCs w:val="24"/>
                <w:lang w:val="en-US"/>
              </w:rPr>
              <w:t>递交投标文件形式</w:t>
            </w:r>
          </w:p>
        </w:tc>
        <w:tc>
          <w:tcPr>
            <w:tcW w:w="7170" w:type="dxa"/>
            <w:vAlign w:val="center"/>
          </w:tcPr>
          <w:p>
            <w:pPr>
              <w:spacing w:line="360" w:lineRule="auto"/>
              <w:jc w:val="both"/>
              <w:rPr>
                <w:sz w:val="24"/>
                <w:szCs w:val="24"/>
                <w:lang w:val="en-US"/>
              </w:rPr>
            </w:pPr>
            <w:r>
              <w:rPr>
                <w:rFonts w:hint="eastAsia"/>
                <w:sz w:val="24"/>
                <w:szCs w:val="24"/>
                <w:lang w:val="en-US"/>
              </w:rPr>
              <w:t>以邮件形式发至内蒙古中亿建筑有限公司电子邮箱</w:t>
            </w:r>
          </w:p>
          <w:p>
            <w:pPr>
              <w:spacing w:line="360" w:lineRule="auto"/>
              <w:jc w:val="both"/>
              <w:rPr>
                <w:rFonts w:eastAsiaTheme="minorEastAsia"/>
                <w:sz w:val="24"/>
                <w:szCs w:val="24"/>
                <w:lang w:val="en-US"/>
              </w:rPr>
            </w:pPr>
            <w:r>
              <w:rPr>
                <w:rFonts w:hint="eastAsia"/>
                <w:sz w:val="24"/>
                <w:szCs w:val="24"/>
              </w:rPr>
              <w:t>电子邮箱</w:t>
            </w:r>
            <w:r>
              <w:rPr>
                <w:rFonts w:hint="eastAsia"/>
                <w:sz w:val="24"/>
                <w:szCs w:val="24"/>
                <w:lang w:val="en-US"/>
              </w:rPr>
              <w:t>：</w:t>
            </w:r>
            <w:r>
              <w:fldChar w:fldCharType="begin"/>
            </w:r>
            <w:r>
              <w:instrText xml:space="preserve"> HYPERLINK "mailto:nmgzyjzzc@163.com" </w:instrText>
            </w:r>
            <w: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b/>
          <w:sz w:val="44"/>
          <w:szCs w:val="44"/>
          <w:lang w:val="en-US"/>
        </w:rPr>
      </w:pPr>
      <w:bookmarkStart w:id="0" w:name="一、投标函及投标函附录"/>
      <w:bookmarkEnd w:id="0"/>
      <w:bookmarkStart w:id="1" w:name="第二章__投标人须知"/>
      <w:bookmarkEnd w:id="1"/>
      <w:r>
        <w:rPr>
          <w:rFonts w:hint="eastAsia"/>
          <w:b/>
          <w:sz w:val="44"/>
          <w:szCs w:val="44"/>
          <w:lang w:val="en-US"/>
        </w:rPr>
        <w:t xml:space="preserve">    </w:t>
      </w:r>
    </w:p>
    <w:p>
      <w:pPr>
        <w:ind w:right="517"/>
        <w:jc w:val="both"/>
        <w:rPr>
          <w:b/>
          <w:sz w:val="44"/>
          <w:szCs w:val="44"/>
          <w:lang w:val="en-US"/>
        </w:rPr>
      </w:pPr>
    </w:p>
    <w:p>
      <w:pPr>
        <w:ind w:right="517"/>
        <w:jc w:val="both"/>
        <w:rPr>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2" w:line="360" w:lineRule="auto"/>
        <w:ind w:firstLine="560" w:firstLineChars="200"/>
        <w:rPr>
          <w:sz w:val="28"/>
          <w:szCs w:val="28"/>
        </w:rPr>
      </w:pPr>
      <w:r>
        <w:rPr>
          <w:sz w:val="28"/>
          <w:szCs w:val="28"/>
        </w:rPr>
        <w:t>我方已仔细研究了</w:t>
      </w:r>
      <w:r>
        <w:rPr>
          <w:rFonts w:hint="eastAsia"/>
          <w:sz w:val="28"/>
          <w:szCs w:val="28"/>
          <w:lang w:val="en-US"/>
        </w:rPr>
        <w:t>赤峰学院临床综合楼建设</w:t>
      </w:r>
      <w:r>
        <w:rPr>
          <w:rFonts w:hint="eastAsia"/>
          <w:sz w:val="28"/>
          <w:szCs w:val="28"/>
        </w:rPr>
        <w:t>项目</w:t>
      </w:r>
      <w:r>
        <w:rPr>
          <w:rFonts w:hint="eastAsia"/>
          <w:sz w:val="28"/>
          <w:szCs w:val="28"/>
          <w:lang w:val="en-US"/>
        </w:rPr>
        <w:t>地下水管道、管件采购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pPr>
        <w:pStyle w:val="16"/>
        <w:tabs>
          <w:tab w:val="left" w:pos="1494"/>
        </w:tabs>
        <w:spacing w:before="67" w:line="560" w:lineRule="exact"/>
        <w:ind w:left="0" w:firstLine="560" w:firstLineChars="200"/>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tabs>
          <w:tab w:val="left" w:pos="1494"/>
        </w:tabs>
        <w:spacing w:before="66" w:line="560" w:lineRule="exact"/>
        <w:ind w:left="0" w:firstLine="560" w:firstLineChars="200"/>
        <w:rPr>
          <w:sz w:val="28"/>
          <w:szCs w:val="28"/>
        </w:rPr>
      </w:pPr>
      <w:r>
        <w:rPr>
          <w:rFonts w:hint="eastAsia"/>
          <w:sz w:val="28"/>
          <w:szCs w:val="28"/>
          <w:lang w:val="en-US"/>
        </w:rPr>
        <w:t>2、</w:t>
      </w:r>
      <w:r>
        <w:rPr>
          <w:sz w:val="28"/>
          <w:szCs w:val="28"/>
        </w:rPr>
        <w:t xml:space="preserve">如我方中标：  </w:t>
      </w:r>
    </w:p>
    <w:p>
      <w:pPr>
        <w:pStyle w:val="16"/>
        <w:tabs>
          <w:tab w:val="left" w:pos="1854"/>
        </w:tabs>
        <w:spacing w:before="1" w:line="560" w:lineRule="exact"/>
        <w:ind w:left="0" w:firstLine="560" w:firstLineChars="200"/>
        <w:rPr>
          <w:sz w:val="28"/>
          <w:szCs w:val="28"/>
        </w:rPr>
      </w:pPr>
      <w:r>
        <w:rPr>
          <w:sz w:val="28"/>
          <w:szCs w:val="28"/>
        </w:rPr>
        <w:t xml:space="preserve">我方承诺在收到中标通知书后，在中标通知书规定的期限内与你方签订合同。  </w:t>
      </w:r>
    </w:p>
    <w:p>
      <w:pPr>
        <w:pStyle w:val="16"/>
        <w:tabs>
          <w:tab w:val="left" w:pos="1854"/>
        </w:tabs>
        <w:spacing w:line="560" w:lineRule="exact"/>
        <w:ind w:left="0" w:firstLine="560" w:firstLineChars="20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每一次地下水管道、管件供应数量，并确保材料供应质量</w:t>
      </w:r>
      <w:r>
        <w:rPr>
          <w:sz w:val="28"/>
          <w:szCs w:val="28"/>
        </w:rPr>
        <w:t xml:space="preserve">。  </w:t>
      </w:r>
    </w:p>
    <w:p>
      <w:pPr>
        <w:pStyle w:val="9"/>
        <w:spacing w:line="560" w:lineRule="exact"/>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r>
        <w:rPr>
          <w:sz w:val="28"/>
          <w:szCs w:val="28"/>
        </w:rPr>
        <w:t xml:space="preserve">投标人（盖章）：                                      </w:t>
      </w:r>
    </w:p>
    <w:p>
      <w:pPr>
        <w:pStyle w:val="9"/>
        <w:spacing w:before="67" w:line="560" w:lineRule="exact"/>
        <w:ind w:firstLine="1120" w:firstLineChars="400"/>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spacing w:before="66" w:line="560" w:lineRule="exact"/>
        <w:ind w:firstLine="1120" w:firstLineChars="400"/>
        <w:rPr>
          <w:sz w:val="28"/>
          <w:szCs w:val="28"/>
        </w:r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5"/>
        <w:spacing w:before="115" w:line="240" w:lineRule="auto"/>
        <w:ind w:right="0"/>
        <w:jc w:val="left"/>
        <w:rPr>
          <w:rFonts w:ascii="宋体" w:hAnsi="宋体" w:eastAsia="宋体"/>
          <w:sz w:val="28"/>
          <w:szCs w:val="28"/>
        </w:rPr>
      </w:pPr>
    </w:p>
    <w:p>
      <w:pPr>
        <w:rPr>
          <w:sz w:val="28"/>
          <w:szCs w:val="28"/>
        </w:rPr>
      </w:pPr>
    </w:p>
    <w:p>
      <w:pPr>
        <w:rPr>
          <w:sz w:val="28"/>
          <w:szCs w:val="28"/>
        </w:rPr>
      </w:pPr>
    </w:p>
    <w:p>
      <w:pPr>
        <w:rPr>
          <w:sz w:val="28"/>
          <w:szCs w:val="28"/>
        </w:rPr>
      </w:pPr>
    </w:p>
    <w:p>
      <w:pPr>
        <w:rPr>
          <w:sz w:val="28"/>
          <w:szCs w:val="28"/>
        </w:rPr>
      </w:pPr>
    </w:p>
    <w:p>
      <w:pPr>
        <w:rPr>
          <w:b/>
          <w:bCs/>
          <w:sz w:val="24"/>
          <w:szCs w:val="24"/>
          <w:lang w:val="en-US"/>
        </w:rPr>
      </w:pPr>
    </w:p>
    <w:p>
      <w:pPr>
        <w:rPr>
          <w:b/>
          <w:bCs/>
          <w:sz w:val="24"/>
          <w:szCs w:val="24"/>
          <w:lang w:val="en-US"/>
        </w:rPr>
      </w:pPr>
    </w:p>
    <w:p>
      <w:pPr>
        <w:pStyle w:val="9"/>
        <w:spacing w:before="66" w:line="360" w:lineRule="auto"/>
        <w:rPr>
          <w:b/>
          <w:bCs/>
          <w:lang w:val="en-US"/>
        </w:rPr>
        <w:sectPr>
          <w:headerReference r:id="rId4" w:type="default"/>
          <w:footerReference r:id="rId5" w:type="default"/>
          <w:pgSz w:w="11910" w:h="16850"/>
          <w:pgMar w:top="1440" w:right="1800" w:bottom="1440" w:left="1800" w:header="1051" w:footer="1057" w:gutter="0"/>
          <w:cols w:space="720" w:num="1"/>
        </w:sectPr>
      </w:pPr>
    </w:p>
    <w:p>
      <w:pPr>
        <w:ind w:right="337"/>
        <w:jc w:val="both"/>
        <w:rPr>
          <w:b/>
          <w:sz w:val="30"/>
        </w:rPr>
      </w:pPr>
      <w:bookmarkStart w:id="2" w:name="（八）承诺书"/>
      <w:bookmarkEnd w:id="2"/>
      <w:bookmarkStart w:id="3" w:name="八、资格审查资料"/>
      <w:bookmarkEnd w:id="3"/>
      <w:bookmarkStart w:id="4" w:name="（七）不拖欠农牧民工工资承诺函"/>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6" w:line="360" w:lineRule="auto"/>
        <w:rPr>
          <w:sz w:val="28"/>
          <w:szCs w:val="28"/>
        </w:rPr>
      </w:pPr>
    </w:p>
    <w:p>
      <w:pPr>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赤峰学院临床综合楼建设项目压力管材、管件采购</w:t>
      </w:r>
      <w:r>
        <w:rPr>
          <w:sz w:val="28"/>
          <w:szCs w:val="28"/>
        </w:rPr>
        <w:t xml:space="preserve">（标段名称）进行投标。投标文件中所有关于投标人资格的文件、证明、业绩、人员资料、陈述均是真实的、准确的。若有不实，我公司承担由此而产生的一切后果。 </w:t>
      </w:r>
    </w:p>
    <w:p>
      <w:pPr>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rPr>
        <w:t>：</w:t>
      </w:r>
      <w:r>
        <w:rPr>
          <w:sz w:val="28"/>
          <w:szCs w:val="28"/>
        </w:rPr>
        <w:t>（签字或盖章）</w:t>
      </w:r>
      <w:bookmarkStart w:id="10" w:name="日期：______年_____月_____日"/>
      <w:bookmarkEnd w:id="10"/>
      <w:r>
        <w:rPr>
          <w:rFonts w:hint="eastAsia"/>
          <w:sz w:val="28"/>
          <w:szCs w:val="28"/>
          <w:u w:val="single"/>
          <w:lang w:val="en-US"/>
        </w:rPr>
        <w:t xml:space="preserve">                                          </w:t>
      </w:r>
    </w:p>
    <w:p>
      <w:pPr>
        <w:pStyle w:val="9"/>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p/>
    <w:p/>
    <w:p/>
    <w:tbl>
      <w:tblPr>
        <w:tblStyle w:val="12"/>
        <w:tblW w:w="9275" w:type="dxa"/>
        <w:tblInd w:w="78" w:type="dxa"/>
        <w:tblLayout w:type="fixed"/>
        <w:tblCellMar>
          <w:top w:w="0" w:type="dxa"/>
          <w:left w:w="108" w:type="dxa"/>
          <w:bottom w:w="0" w:type="dxa"/>
          <w:right w:w="108" w:type="dxa"/>
        </w:tblCellMar>
      </w:tblPr>
      <w:tblGrid>
        <w:gridCol w:w="853"/>
        <w:gridCol w:w="2115"/>
        <w:gridCol w:w="1470"/>
        <w:gridCol w:w="720"/>
        <w:gridCol w:w="615"/>
        <w:gridCol w:w="1147"/>
        <w:gridCol w:w="1230"/>
        <w:gridCol w:w="1125"/>
      </w:tblGrid>
      <w:tr>
        <w:tblPrEx>
          <w:tblCellMar>
            <w:top w:w="0" w:type="dxa"/>
            <w:left w:w="108" w:type="dxa"/>
            <w:bottom w:w="0" w:type="dxa"/>
            <w:right w:w="108" w:type="dxa"/>
          </w:tblCellMar>
        </w:tblPrEx>
        <w:trPr>
          <w:trHeight w:val="50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序号</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材料（设备)名称</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规格型号</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单位</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数量</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报价</w:t>
            </w: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使用部位</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备注</w:t>
            </w: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焊接钢管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144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地下车库非人防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δ＝4.0mm</w:t>
            </w: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焊接钢管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地下车库非人防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δ＝4.0mm</w:t>
            </w: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焊接三通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DN100x70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地下车库非人防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焊接变径</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DN100x70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地下车库非人防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焊接法兰</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片</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地下车库非人防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法兰胶垫</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地下车库非人防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7</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法兰胶垫</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70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地下车库非人防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8</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全扣螺栓</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M16X8</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套</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890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地下车库非人防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9</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冲压弯头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地下车库非人防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10</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冲压弯头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15</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地下车库非人防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11</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闸阀</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套</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地下车库非人防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12</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逆止阀</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套</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地下车库非人防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13</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防锈漆</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kg</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地下车库非人防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14</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沥青防腐漆</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kg</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地下车库非人防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15</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地下车库非人防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44"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p>
            <w:pPr>
              <w:jc w:val="center"/>
              <w:rPr>
                <w:color w:val="000000"/>
                <w:szCs w:val="24"/>
              </w:rPr>
            </w:pPr>
            <w:r>
              <w:rPr>
                <w:rFonts w:hint="eastAsia"/>
                <w:color w:val="000000"/>
                <w:szCs w:val="24"/>
              </w:rPr>
              <w:t>序号</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材料（设备)名称</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规格型号</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单位</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数量</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报价</w:t>
            </w: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使用部位</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备注</w:t>
            </w: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热镀锌衬塑钢管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18</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δ＝4.0mm</w:t>
            </w: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热镀锌衬塑钢管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δ＝4.0mm</w:t>
            </w: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衬塑沟槽三通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DN100x100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衬塑沟槽三通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DN100x70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镀锌沟槽法兰</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片</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镀锌沟槽法兰</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片</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7</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法兰胶垫</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8</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法兰胶垫</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9</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全扣螺栓</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M16X8</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套</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200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10</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衬塑镀锌沟槽弯头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DN70x90°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11</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衬塑镀锌沟槽变径箍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DN100x70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13</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闸阀</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套</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7</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14</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逆止阀</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套</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7</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15</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铜芯防护阀</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套</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16</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铜芯防护阀</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套</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17</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镀锌盲堵</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片</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18</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镀锌沟槽卡箍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19</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镀锌沟槽卡箍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35</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20</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衬塑镀锌丝扣管箍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DN70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21</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衬塑镀锌沟槽弯头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DN100x90°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61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22</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衬塑镀锌沟槽弯头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DN100x45°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地下车库人防</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1575"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23</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潜污泵</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65XWQ37-13-3</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台</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地下车库</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带耦合装置全套</w:t>
            </w: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序号</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材料（设备)名称</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规格型号</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单位</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数量</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报价</w:t>
            </w: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使用部位</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备注</w:t>
            </w: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78</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δ＝4.5mm</w:t>
            </w: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210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δ＝4.0mm</w:t>
            </w: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沟槽三通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DN150x150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沟槽三通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DN100x100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沟槽弯头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DN150x90°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15</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沟槽弯头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DN100x90°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7</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盲堵</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片</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8</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盲堵</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片</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9</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沟槽变径箍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DN150x100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10</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沟槽卡箍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70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11</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沟槽卡箍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13</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87型雨水斗</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屋面</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14</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铜盖地面清扫口</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15</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16</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17</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18</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19</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20</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 w:val="21"/>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序号</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材料（设备)名称</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规格型号</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单位</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数量</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报价</w:t>
            </w: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使用部位</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备注</w:t>
            </w: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热镀锌衬塑钢管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钢管δ＝3.8mm</w:t>
            </w: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热镀锌衬塑钢管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DN40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钢管δ＝3.5mm</w:t>
            </w: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热镀锌衬塑钢管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钢管δ＝3.5mm</w:t>
            </w: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热镀锌衬塑钢管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120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钢管δ＝3.2mm</w:t>
            </w: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丝扣铜闸阀</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丝扣铜减压阀</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7</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活接头（带垫）</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8</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9</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DN50x40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10</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11</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12</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DN40x40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13</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DN40x25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8</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14</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衬塑丝扣管箍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15</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衬塑丝扣管箍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DN40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16</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衬塑丝扣外丝</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17</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衬塑丝扣变径箍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DN50x40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18</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衬塑丝扣变径箍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19</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衬塑丝扣变径箍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DN40x32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20</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衬塑丝扣弯头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DN40x90°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21</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衬塑丝扣弯头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DN50x90°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22</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水表</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块</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 w:val="21"/>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402"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27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序号</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材料（设备)名称</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规格型号</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单位</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数量</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报价</w:t>
            </w: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使用部位</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备注</w:t>
            </w:r>
          </w:p>
        </w:tc>
      </w:tr>
      <w:tr>
        <w:tblPrEx>
          <w:tblCellMar>
            <w:top w:w="0" w:type="dxa"/>
            <w:left w:w="108" w:type="dxa"/>
            <w:bottom w:w="0" w:type="dxa"/>
            <w:right w:w="108" w:type="dxa"/>
          </w:tblCellMar>
        </w:tblPrEx>
        <w:trPr>
          <w:trHeight w:val="54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热镀锌衬塑钢管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90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钢管δ＝4.5mm</w:t>
            </w:r>
          </w:p>
        </w:tc>
      </w:tr>
      <w:tr>
        <w:tblPrEx>
          <w:tblCellMar>
            <w:top w:w="0" w:type="dxa"/>
            <w:left w:w="108" w:type="dxa"/>
            <w:bottom w:w="0" w:type="dxa"/>
            <w:right w:w="108" w:type="dxa"/>
          </w:tblCellMar>
        </w:tblPrEx>
        <w:trPr>
          <w:trHeight w:val="54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热镀锌衬塑钢管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90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钢管δ＝4.0mm</w:t>
            </w:r>
          </w:p>
        </w:tc>
      </w:tr>
      <w:tr>
        <w:tblPrEx>
          <w:tblCellMar>
            <w:top w:w="0" w:type="dxa"/>
            <w:left w:w="108" w:type="dxa"/>
            <w:bottom w:w="0" w:type="dxa"/>
            <w:right w:w="108" w:type="dxa"/>
          </w:tblCellMar>
        </w:tblPrEx>
        <w:trPr>
          <w:trHeight w:val="54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热镀锌衬塑钢管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DN80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钢管δ＝4.0mm</w:t>
            </w:r>
          </w:p>
        </w:tc>
      </w:tr>
      <w:tr>
        <w:tblPrEx>
          <w:tblCellMar>
            <w:top w:w="0" w:type="dxa"/>
            <w:left w:w="108" w:type="dxa"/>
            <w:bottom w:w="0" w:type="dxa"/>
            <w:right w:w="108" w:type="dxa"/>
          </w:tblCellMar>
        </w:tblPrEx>
        <w:trPr>
          <w:trHeight w:val="54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热镀锌衬塑钢管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DN65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156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钢管δ＝4.0mm</w:t>
            </w:r>
          </w:p>
        </w:tc>
      </w:tr>
      <w:tr>
        <w:tblPrEx>
          <w:tblCellMar>
            <w:top w:w="0" w:type="dxa"/>
            <w:left w:w="108" w:type="dxa"/>
            <w:bottom w:w="0" w:type="dxa"/>
            <w:right w:w="108" w:type="dxa"/>
          </w:tblCellMar>
        </w:tblPrEx>
        <w:trPr>
          <w:trHeight w:val="54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热镀锌衬塑钢管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234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钢管δ＝3.8mm</w:t>
            </w:r>
          </w:p>
        </w:tc>
      </w:tr>
      <w:tr>
        <w:tblPrEx>
          <w:tblCellMar>
            <w:top w:w="0" w:type="dxa"/>
            <w:left w:w="108" w:type="dxa"/>
            <w:bottom w:w="0" w:type="dxa"/>
            <w:right w:w="108" w:type="dxa"/>
          </w:tblCellMar>
        </w:tblPrEx>
        <w:trPr>
          <w:trHeight w:val="54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热镀锌衬塑钢管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DN40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钢管δ＝3.5mm</w:t>
            </w:r>
          </w:p>
        </w:tc>
      </w:tr>
      <w:tr>
        <w:tblPrEx>
          <w:tblCellMar>
            <w:top w:w="0" w:type="dxa"/>
            <w:left w:w="108" w:type="dxa"/>
            <w:bottom w:w="0" w:type="dxa"/>
            <w:right w:w="108" w:type="dxa"/>
          </w:tblCellMar>
        </w:tblPrEx>
        <w:trPr>
          <w:trHeight w:val="54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7</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热镀锌衬塑钢管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钢管δ＝3.5mm</w:t>
            </w:r>
          </w:p>
        </w:tc>
      </w:tr>
      <w:tr>
        <w:tblPrEx>
          <w:tblCellMar>
            <w:top w:w="0" w:type="dxa"/>
            <w:left w:w="108" w:type="dxa"/>
            <w:bottom w:w="0" w:type="dxa"/>
            <w:right w:w="108" w:type="dxa"/>
          </w:tblCellMar>
        </w:tblPrEx>
        <w:trPr>
          <w:trHeight w:val="54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8</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热镀锌衬塑钢管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216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钢管δ＝3.2mm</w:t>
            </w: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9</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衬塑沟槽三通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DN150x150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10</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衬塑沟槽三通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DN100x100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11</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衬塑沟槽三通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DN80x65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12</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衬塑沟槽三通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DN65x65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13</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衬塑沟槽丝扣三通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DN100x50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14</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衬塑沟槽丝扣三通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DN65x50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15</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衬塑沟槽丝扣三通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DN65x40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16</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衬塑沟槽丝扣三通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DN65x32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17</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衬塑沟槽丝扣三通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DN65x25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18</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衬塑沟槽丝扣四通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DN65x25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19</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衬塑沟槽丝扣变径箍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DN65x50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20</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衬塑沟槽弯头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DN150x90°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21</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衬塑沟槽弯头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DN100x90°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22</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衬塑沟槽弯头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DN80x90°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23</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衬塑沟槽弯头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DN65x90°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20</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衬塑沟槽卡箍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24</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衬塑沟槽卡箍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37</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25</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衬塑沟槽卡箍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DN80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8</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26</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衬塑沟槽卡箍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DN65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75</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27</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沟槽法兰</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DN65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28</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衬塑丝扣管箍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29</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衬塑丝扣管箍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DN40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30</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衬塑丝扣管箍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31</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衬塑丝扣管箍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7</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32</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法兰闸阀</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DN65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套</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33</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法兰减压阀</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DN65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套</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34</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法兰胶垫</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DN65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27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35</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全扣螺栓</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M16X8</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套</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36</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丝扣铜闸阀</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37</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丝扣铜闸阀</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38</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丝扣铜减压阀</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39</w:t>
            </w: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丝扣铜减压阀</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40</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衬塑沟槽卡箍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DN150x100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41</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7</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42</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43</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44</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DN40x40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45</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DN40x32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46</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DN40x25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47</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DN32x32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48</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DN32x25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49</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衬塑镀锌丝扣三通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DN25x25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50</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衬塑镀锌丝扣活接头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带活接垫</w:t>
            </w: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51</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衬塑镀锌丝扣活接头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带活接垫</w:t>
            </w: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52</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DN50x90°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53</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DN32x90°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54</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DN25x90°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72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55</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衬塑镀锌丝扣弯头</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DN50x45°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56</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衬塑镀锌丝扣四通</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57</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衬塑镀锌丝扣外丝</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58</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衬塑镀锌丝扣外丝</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DN40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9</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59</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衬塑镀锌丝扣外丝</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20</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60</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衬塑镀锌丝扣外丝</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61</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衬塑镀锌丝扣变径箍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DN50x40</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62</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衬塑镀锌丝扣变径箍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2</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63</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衬塑镀锌丝扣变径箍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DN50x25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3</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64</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衬塑镀锌丝扣变径箍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DN40x32</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5</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65</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衬塑镀锌丝扣变径箍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DN40x25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66</w:t>
            </w:r>
          </w:p>
        </w:tc>
        <w:tc>
          <w:tcPr>
            <w:tcW w:w="2115" w:type="dxa"/>
            <w:tcBorders>
              <w:top w:val="single" w:color="auto" w:sz="6" w:space="0"/>
              <w:left w:val="single" w:color="auto" w:sz="6" w:space="0"/>
              <w:bottom w:val="nil"/>
              <w:right w:val="single" w:color="auto" w:sz="6" w:space="0"/>
              <w:tl2br w:val="nil"/>
              <w:tr2bl w:val="nil"/>
            </w:tcBorders>
          </w:tcPr>
          <w:p>
            <w:pPr>
              <w:jc w:val="center"/>
              <w:rPr>
                <w:color w:val="000000"/>
                <w:szCs w:val="24"/>
              </w:rPr>
            </w:pPr>
            <w:r>
              <w:rPr>
                <w:rFonts w:hint="eastAsia"/>
                <w:color w:val="000000"/>
                <w:szCs w:val="24"/>
              </w:rPr>
              <w:t>衬塑镀锌丝扣变径箍</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r>
              <w:rPr>
                <w:rFonts w:hint="eastAsia" w:ascii="Calibri" w:hAnsi="Calibri" w:eastAsia="Calibri"/>
                <w:color w:val="000000"/>
                <w:szCs w:val="24"/>
              </w:rPr>
              <w:t>DN32x25</w:t>
            </w: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个</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14</w:t>
            </w: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r>
              <w:rPr>
                <w:rFonts w:hint="eastAsia"/>
                <w:color w:val="000000"/>
                <w:szCs w:val="24"/>
              </w:rPr>
              <w:t>地下一层</w:t>
            </w: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r>
        <w:tblPrEx>
          <w:tblCellMar>
            <w:top w:w="0" w:type="dxa"/>
            <w:left w:w="108" w:type="dxa"/>
            <w:bottom w:w="0" w:type="dxa"/>
            <w:right w:w="108" w:type="dxa"/>
          </w:tblCellMar>
        </w:tblPrEx>
        <w:trPr>
          <w:trHeight w:val="300" w:hRule="atLeast"/>
        </w:trPr>
        <w:tc>
          <w:tcPr>
            <w:tcW w:w="853"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21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ascii="Calibri" w:hAnsi="Calibri" w:eastAsia="Calibri"/>
                <w:color w:val="000000"/>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tcPr>
          <w:p>
            <w:pPr>
              <w:jc w:val="center"/>
              <w:rPr>
                <w:color w:val="000000"/>
                <w:szCs w:val="24"/>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szCs w:val="18"/>
        <w:lang w:val="en-US"/>
      </w:rPr>
      <w:t>赤峰学院附属医院临床综合楼建设项目采购</w:t>
    </w:r>
    <w:r>
      <w:rPr>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rPr>
        <w:sz w:val="20"/>
      </w:rPr>
    </w:pPr>
    <w:r>
      <w:rPr>
        <w:rFonts w:hint="eastAsia"/>
        <w:sz w:val="18"/>
        <w:szCs w:val="18"/>
        <w:lang w:val="en-US"/>
      </w:rPr>
      <w:t>赤峰学院附属医院临床综合楼建设项目压力管件、管件采购</w:t>
    </w:r>
    <w:r>
      <w:rPr>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N2QxY2U0NWE5MGY5MGNlMzVmYjc0ZGRhNTA3MGEifQ=="/>
  </w:docVars>
  <w:rsids>
    <w:rsidRoot w:val="00172A27"/>
    <w:rsid w:val="00172A27"/>
    <w:rsid w:val="0098375E"/>
    <w:rsid w:val="00A44A03"/>
    <w:rsid w:val="00AE60FF"/>
    <w:rsid w:val="07F02457"/>
    <w:rsid w:val="094A521D"/>
    <w:rsid w:val="0B483CB9"/>
    <w:rsid w:val="0C6F7A75"/>
    <w:rsid w:val="0F912F03"/>
    <w:rsid w:val="122F4DBC"/>
    <w:rsid w:val="14783D22"/>
    <w:rsid w:val="18E03D7A"/>
    <w:rsid w:val="1D243ADA"/>
    <w:rsid w:val="1D8B07AF"/>
    <w:rsid w:val="26DA0E5B"/>
    <w:rsid w:val="297E44FC"/>
    <w:rsid w:val="32BE1591"/>
    <w:rsid w:val="33671216"/>
    <w:rsid w:val="35B7717F"/>
    <w:rsid w:val="38086DE9"/>
    <w:rsid w:val="4A302214"/>
    <w:rsid w:val="4CB83E08"/>
    <w:rsid w:val="4D1B4BD9"/>
    <w:rsid w:val="55951FDB"/>
    <w:rsid w:val="59892C39"/>
    <w:rsid w:val="59A63E79"/>
    <w:rsid w:val="69BE438A"/>
    <w:rsid w:val="73B77FAF"/>
    <w:rsid w:val="76773A24"/>
    <w:rsid w:val="789571EB"/>
    <w:rsid w:val="78AB4358"/>
    <w:rsid w:val="7F67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after="64" w:line="317" w:lineRule="auto"/>
      <w:outlineLvl w:val="7"/>
    </w:pPr>
    <w:rPr>
      <w:rFonts w:ascii="Arial" w:hAnsi="Arial" w:eastAsia="黑体"/>
      <w:sz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 w:type="character" w:customStyle="1" w:styleId="17">
    <w:name w:val="font01"/>
    <w:basedOn w:val="14"/>
    <w:uiPriority w:val="0"/>
    <w:rPr>
      <w:rFonts w:hint="eastAsia" w:ascii="宋体" w:hAnsi="宋体" w:eastAsia="宋体" w:cs="宋体"/>
      <w:color w:val="000000"/>
      <w:sz w:val="22"/>
      <w:szCs w:val="22"/>
      <w:u w:val="none"/>
    </w:rPr>
  </w:style>
  <w:style w:type="character" w:customStyle="1" w:styleId="18">
    <w:name w:val="font21"/>
    <w:basedOn w:val="14"/>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5068</Words>
  <Characters>6502</Characters>
  <Lines>64</Lines>
  <Paragraphs>18</Paragraphs>
  <TotalTime>63</TotalTime>
  <ScaleCrop>false</ScaleCrop>
  <LinksUpToDate>false</LinksUpToDate>
  <CharactersWithSpaces>6885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刘昌</cp:lastModifiedBy>
  <dcterms:modified xsi:type="dcterms:W3CDTF">2022-05-21T06:38:47Z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