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jc w:val="center"/>
        <w:rPr>
          <w:b/>
          <w:bCs/>
          <w:sz w:val="44"/>
          <w:szCs w:val="44"/>
          <w:lang w:val="en-US"/>
        </w:rPr>
      </w:pPr>
      <w:r>
        <w:rPr>
          <w:rFonts w:hint="eastAsia"/>
          <w:b/>
          <w:bCs/>
          <w:sz w:val="44"/>
          <w:szCs w:val="44"/>
          <w:lang w:val="en-US"/>
        </w:rPr>
        <w:t>赤峰市红山区妇幼保健院迁建项目焊接钢管、角钢采购</w:t>
      </w:r>
    </w:p>
    <w:p>
      <w:pPr>
        <w:pStyle w:val="9"/>
        <w:jc w:val="distribute"/>
        <w:rPr>
          <w:b/>
          <w:bCs/>
          <w:sz w:val="44"/>
          <w:szCs w:val="44"/>
        </w:rPr>
      </w:pPr>
    </w:p>
    <w:p>
      <w:pPr>
        <w:pStyle w:val="9"/>
        <w:ind w:firstLine="1325" w:firstLineChars="300"/>
        <w:rPr>
          <w:b/>
          <w:bCs/>
          <w:sz w:val="20"/>
          <w:lang w:val="en-US"/>
        </w:rPr>
      </w:pPr>
      <w:r>
        <w:rPr>
          <w:b/>
          <w:bCs/>
          <w:sz w:val="44"/>
          <w:szCs w:val="44"/>
        </w:rPr>
        <w:t>招标项目编号：</w:t>
      </w:r>
      <w:r>
        <w:rPr>
          <w:rFonts w:hint="eastAsia"/>
          <w:b/>
          <w:bCs/>
          <w:sz w:val="44"/>
          <w:szCs w:val="44"/>
          <w:lang w:val="en-US"/>
        </w:rPr>
        <w:t>ZYJZFYBJY20220013</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十一</w:t>
      </w:r>
      <w:r>
        <w:rPr>
          <w:rFonts w:hint="eastAsia" w:ascii="微软雅黑" w:eastAsia="微软雅黑"/>
          <w:b/>
          <w:sz w:val="31"/>
        </w:rPr>
        <w:t>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36"/>
          <w:szCs w:val="36"/>
        </w:rPr>
      </w:pPr>
      <w:r>
        <w:rPr>
          <w:rFonts w:hint="eastAsia"/>
          <w:b/>
          <w:sz w:val="36"/>
          <w:szCs w:val="36"/>
          <w:lang w:val="en-US"/>
        </w:rPr>
        <w:t>赤峰市红山区妇幼保健院迁建项目焊接钢管、角钢采购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ZYJZFYBJY</w:t>
      </w:r>
      <w:r>
        <w:rPr>
          <w:rFonts w:hint="eastAsia"/>
          <w:b/>
          <w:bCs/>
          <w:spacing w:val="14"/>
          <w:w w:val="85"/>
          <w:lang w:val="en-US"/>
        </w:rPr>
        <w:t>20220013</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left="87" w:right="17" w:firstLine="560" w:firstLineChars="200"/>
        <w:rPr>
          <w:sz w:val="28"/>
          <w:szCs w:val="28"/>
          <w:lang w:val="en-US"/>
        </w:rPr>
      </w:pPr>
      <w:r>
        <w:rPr>
          <w:rFonts w:hint="eastAsia"/>
          <w:sz w:val="28"/>
          <w:szCs w:val="28"/>
          <w:lang w:val="en-US"/>
        </w:rPr>
        <w:t>赤峰市红山区妇幼保建院迁建项目已办理完毕施工许可证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。项目已具备招标条件，现对本项目的焊接钢管、角钢</w:t>
      </w:r>
      <w:r>
        <w:rPr>
          <w:rFonts w:hint="eastAsia"/>
          <w:sz w:val="28"/>
          <w:szCs w:val="28"/>
          <w:lang w:val="en-US"/>
        </w:rPr>
        <w:t>采购</w:t>
      </w:r>
      <w:r>
        <w:rPr>
          <w:rFonts w:hint="eastAsia"/>
          <w:sz w:val="28"/>
          <w:szCs w:val="28"/>
        </w:rPr>
        <w:t>进行公</w:t>
      </w:r>
      <w:r>
        <w:rPr>
          <w:rFonts w:hint="eastAsia"/>
          <w:sz w:val="28"/>
          <w:szCs w:val="28"/>
          <w:lang w:val="en-US"/>
        </w:rPr>
        <w:t>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赤峰市红山区妇幼保健院迁建项目。</w:t>
      </w:r>
    </w:p>
    <w:p>
      <w:pPr>
        <w:spacing w:line="600" w:lineRule="exact"/>
        <w:ind w:firstLine="843" w:firstLineChars="300"/>
        <w:rPr>
          <w:sz w:val="28"/>
          <w:szCs w:val="28"/>
          <w:lang w:val="en-US"/>
        </w:rPr>
      </w:pPr>
      <w:r>
        <w:rPr>
          <w:rFonts w:hint="eastAsia"/>
          <w:b/>
          <w:bCs/>
          <w:sz w:val="28"/>
          <w:szCs w:val="28"/>
        </w:rPr>
        <w:t>标段名称</w:t>
      </w:r>
      <w:r>
        <w:rPr>
          <w:rFonts w:hint="eastAsia"/>
          <w:sz w:val="28"/>
          <w:szCs w:val="28"/>
        </w:rPr>
        <w:t>：</w:t>
      </w:r>
      <w:r>
        <w:rPr>
          <w:rFonts w:hint="eastAsia"/>
          <w:sz w:val="28"/>
          <w:szCs w:val="28"/>
          <w:lang w:val="en-US"/>
        </w:rPr>
        <w:t>赤峰市红山区妇幼保健院迁建项目。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：赤峰市红山区</w:t>
      </w:r>
      <w:r>
        <w:rPr>
          <w:rFonts w:hint="eastAsia"/>
          <w:sz w:val="28"/>
          <w:szCs w:val="28"/>
          <w:lang w:val="en-US"/>
        </w:rPr>
        <w:t>新地组团F07-04和F07-05块地。</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 xml:space="preserve">工程规模：项目总建筑面积 </w:t>
      </w:r>
      <w:r>
        <w:rPr>
          <w:rFonts w:hint="eastAsia"/>
          <w:sz w:val="28"/>
          <w:szCs w:val="28"/>
          <w:lang w:val="en-US"/>
        </w:rPr>
        <w:t>24900</w:t>
      </w:r>
      <w:r>
        <w:rPr>
          <w:rFonts w:hint="eastAsia"/>
          <w:sz w:val="28"/>
          <w:szCs w:val="28"/>
        </w:rPr>
        <w:t xml:space="preserve">平方米，其中：地上建筑面积 </w:t>
      </w:r>
      <w:r>
        <w:rPr>
          <w:rFonts w:hint="eastAsia"/>
          <w:sz w:val="28"/>
          <w:szCs w:val="28"/>
          <w:lang w:val="en-US"/>
        </w:rPr>
        <w:t>16158.4</w:t>
      </w:r>
      <w:r>
        <w:rPr>
          <w:rFonts w:hint="eastAsia"/>
          <w:sz w:val="28"/>
          <w:szCs w:val="28"/>
        </w:rPr>
        <w:t xml:space="preserve">平方米，地下停车场 </w:t>
      </w:r>
      <w:r>
        <w:rPr>
          <w:rFonts w:hint="eastAsia"/>
          <w:sz w:val="28"/>
          <w:szCs w:val="28"/>
          <w:lang w:val="en-US"/>
        </w:rPr>
        <w:t>8741.6</w:t>
      </w:r>
      <w:r>
        <w:rPr>
          <w:rFonts w:hint="eastAsia"/>
          <w:sz w:val="28"/>
          <w:szCs w:val="28"/>
        </w:rPr>
        <w:t>平方米。</w:t>
      </w:r>
      <w:bookmarkStart w:id="11" w:name="_GoBack"/>
      <w:bookmarkEnd w:id="11"/>
    </w:p>
    <w:p>
      <w:pPr>
        <w:spacing w:line="600" w:lineRule="exact"/>
        <w:ind w:firstLine="560" w:firstLineChars="200"/>
        <w:rPr>
          <w:sz w:val="28"/>
          <w:szCs w:val="28"/>
        </w:rPr>
      </w:pPr>
      <w:r>
        <w:rPr>
          <w:rFonts w:hint="eastAsia"/>
          <w:sz w:val="28"/>
          <w:szCs w:val="28"/>
        </w:rPr>
        <w:t>招标范围： 本项目工程施工图纸范围内的焊接钢管、角钢</w:t>
      </w:r>
      <w:r>
        <w:rPr>
          <w:rFonts w:hint="eastAsia"/>
          <w:sz w:val="28"/>
          <w:szCs w:val="28"/>
          <w:lang w:val="en-US"/>
        </w:rPr>
        <w:t>采购。</w:t>
      </w:r>
      <w:r>
        <w:rPr>
          <w:rFonts w:hint="eastAsia"/>
          <w:sz w:val="28"/>
          <w:szCs w:val="28"/>
        </w:rPr>
        <w:t xml:space="preserve"> </w:t>
      </w:r>
    </w:p>
    <w:p>
      <w:pPr>
        <w:spacing w:line="600" w:lineRule="exact"/>
        <w:ind w:firstLine="560" w:firstLineChars="200"/>
        <w:rPr>
          <w:sz w:val="28"/>
          <w:szCs w:val="28"/>
        </w:rPr>
      </w:pPr>
      <w:r>
        <w:rPr>
          <w:rFonts w:hint="eastAsia"/>
          <w:sz w:val="28"/>
          <w:szCs w:val="28"/>
        </w:rPr>
        <w:t>计划日期：202</w:t>
      </w:r>
      <w:r>
        <w:rPr>
          <w:rFonts w:hint="eastAsia"/>
          <w:sz w:val="28"/>
          <w:szCs w:val="28"/>
          <w:lang w:val="en-US"/>
        </w:rPr>
        <w:t>2</w:t>
      </w:r>
      <w:r>
        <w:rPr>
          <w:rFonts w:hint="eastAsia"/>
          <w:sz w:val="28"/>
          <w:szCs w:val="28"/>
        </w:rPr>
        <w:t xml:space="preserve"> 年</w:t>
      </w:r>
      <w:r>
        <w:rPr>
          <w:rFonts w:hint="eastAsia"/>
          <w:sz w:val="28"/>
          <w:szCs w:val="28"/>
          <w:lang w:val="en-US"/>
        </w:rPr>
        <w:t xml:space="preserve"> 11</w:t>
      </w:r>
      <w:r>
        <w:rPr>
          <w:rFonts w:hint="eastAsia"/>
          <w:sz w:val="28"/>
          <w:szCs w:val="28"/>
        </w:rPr>
        <w:t xml:space="preserve"> 月</w:t>
      </w:r>
      <w:r>
        <w:rPr>
          <w:rFonts w:hint="eastAsia"/>
          <w:sz w:val="28"/>
          <w:szCs w:val="28"/>
          <w:lang w:val="en-US"/>
        </w:rPr>
        <w:t xml:space="preserve"> 2</w:t>
      </w:r>
      <w:r>
        <w:rPr>
          <w:rFonts w:hint="eastAsia"/>
          <w:sz w:val="28"/>
          <w:szCs w:val="28"/>
          <w:lang w:val="en-US" w:eastAsia="zh-CN"/>
        </w:rPr>
        <w:t>5</w:t>
      </w:r>
      <w:r>
        <w:rPr>
          <w:rFonts w:hint="eastAsia"/>
          <w:sz w:val="28"/>
          <w:szCs w:val="28"/>
        </w:rPr>
        <w:t xml:space="preserve"> 日前</w:t>
      </w:r>
      <w:r>
        <w:rPr>
          <w:rFonts w:hint="eastAsia"/>
          <w:sz w:val="28"/>
          <w:szCs w:val="28"/>
          <w:lang w:val="en-US"/>
        </w:rPr>
        <w:t>进场</w:t>
      </w:r>
      <w:r>
        <w:rPr>
          <w:rFonts w:hint="eastAsia"/>
          <w:sz w:val="28"/>
          <w:szCs w:val="28"/>
        </w:rPr>
        <w:t>（具体开进场期以合同签订日期为准）。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见第二章投标人须知第6条。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rPr>
        <w:t xml:space="preserve">11 </w:t>
      </w:r>
      <w:r>
        <w:rPr>
          <w:rFonts w:hint="eastAsia"/>
          <w:sz w:val="28"/>
          <w:szCs w:val="28"/>
        </w:rPr>
        <w:t>月</w:t>
      </w:r>
      <w:r>
        <w:rPr>
          <w:rFonts w:hint="eastAsia"/>
          <w:sz w:val="28"/>
          <w:szCs w:val="28"/>
          <w:lang w:val="en-US"/>
        </w:rPr>
        <w:t xml:space="preserve"> 1</w:t>
      </w:r>
      <w:r>
        <w:rPr>
          <w:rFonts w:hint="eastAsia"/>
          <w:sz w:val="28"/>
          <w:szCs w:val="28"/>
          <w:lang w:val="en-US" w:eastAsia="zh-CN"/>
        </w:rPr>
        <w:t>8</w:t>
      </w:r>
      <w:r>
        <w:rPr>
          <w:rFonts w:hint="eastAsia"/>
          <w:sz w:val="28"/>
          <w:szCs w:val="28"/>
        </w:rPr>
        <w:t xml:space="preserve"> 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bidi="ar-SA"/>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2150" w:type="dxa"/>
            <w:vAlign w:val="center"/>
          </w:tcPr>
          <w:p>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2150" w:type="dxa"/>
            <w:vAlign w:val="center"/>
          </w:tcPr>
          <w:p>
            <w:pPr>
              <w:spacing w:line="360" w:lineRule="auto"/>
              <w:jc w:val="center"/>
              <w:rPr>
                <w:sz w:val="24"/>
                <w:szCs w:val="24"/>
                <w:lang w:val="en-US"/>
              </w:rPr>
            </w:pPr>
            <w:r>
              <w:rPr>
                <w:rFonts w:hint="eastAsia"/>
                <w:sz w:val="24"/>
                <w:szCs w:val="24"/>
                <w:lang w:val="en-US"/>
              </w:rPr>
              <w:t>招标人</w:t>
            </w:r>
          </w:p>
        </w:tc>
        <w:tc>
          <w:tcPr>
            <w:tcW w:w="5983"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2150" w:type="dxa"/>
            <w:vAlign w:val="center"/>
          </w:tcPr>
          <w:p>
            <w:pPr>
              <w:spacing w:line="360" w:lineRule="auto"/>
              <w:jc w:val="center"/>
              <w:rPr>
                <w:sz w:val="24"/>
                <w:szCs w:val="24"/>
                <w:lang w:val="en-US"/>
              </w:rPr>
            </w:pPr>
            <w:r>
              <w:rPr>
                <w:rFonts w:hint="eastAsia"/>
                <w:sz w:val="24"/>
                <w:szCs w:val="24"/>
                <w:lang w:val="en-US"/>
              </w:rPr>
              <w:t>项目名称</w:t>
            </w:r>
          </w:p>
        </w:tc>
        <w:tc>
          <w:tcPr>
            <w:tcW w:w="5983" w:type="dxa"/>
            <w:vAlign w:val="center"/>
          </w:tcPr>
          <w:p>
            <w:pPr>
              <w:spacing w:line="360" w:lineRule="auto"/>
              <w:jc w:val="both"/>
              <w:rPr>
                <w:sz w:val="24"/>
                <w:szCs w:val="24"/>
                <w:lang w:val="en-US"/>
              </w:rPr>
            </w:pPr>
            <w:r>
              <w:rPr>
                <w:rFonts w:hint="eastAsia"/>
                <w:spacing w:val="-1"/>
                <w:sz w:val="24"/>
                <w:szCs w:val="24"/>
                <w:lang w:val="en-US"/>
              </w:rPr>
              <w:t>赤峰市红山区妇幼保健院迁建项目。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2150"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5983" w:type="dxa"/>
            <w:vAlign w:val="center"/>
          </w:tcPr>
          <w:p>
            <w:pPr>
              <w:spacing w:line="360" w:lineRule="auto"/>
              <w:jc w:val="both"/>
              <w:rPr>
                <w:spacing w:val="-1"/>
                <w:sz w:val="24"/>
                <w:szCs w:val="24"/>
                <w:lang w:val="en-US"/>
              </w:rPr>
            </w:pPr>
            <w:r>
              <w:rPr>
                <w:rFonts w:hint="eastAsia"/>
                <w:spacing w:val="-1"/>
                <w:sz w:val="24"/>
                <w:szCs w:val="24"/>
                <w:lang w:val="en-US"/>
              </w:rPr>
              <w:t>赤峰市红山区新地组团F07—04和F07-05块地。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2150" w:type="dxa"/>
            <w:vAlign w:val="center"/>
          </w:tcPr>
          <w:p>
            <w:pPr>
              <w:spacing w:line="360" w:lineRule="auto"/>
              <w:jc w:val="center"/>
              <w:rPr>
                <w:sz w:val="24"/>
                <w:szCs w:val="24"/>
                <w:lang w:val="en-US"/>
              </w:rPr>
            </w:pPr>
            <w:r>
              <w:rPr>
                <w:rFonts w:hint="eastAsia"/>
                <w:sz w:val="24"/>
                <w:szCs w:val="24"/>
                <w:lang w:val="en-US"/>
              </w:rPr>
              <w:t>招标范围</w:t>
            </w:r>
          </w:p>
        </w:tc>
        <w:tc>
          <w:tcPr>
            <w:tcW w:w="5983" w:type="dxa"/>
          </w:tcPr>
          <w:p>
            <w:pPr>
              <w:spacing w:line="600" w:lineRule="exact"/>
              <w:jc w:val="both"/>
              <w:rPr>
                <w:sz w:val="24"/>
                <w:szCs w:val="24"/>
              </w:rPr>
            </w:pPr>
            <w:r>
              <w:rPr>
                <w:rFonts w:hint="eastAsia"/>
                <w:sz w:val="24"/>
                <w:szCs w:val="24"/>
              </w:rPr>
              <w:t>本项目工程施工图纸范围内的焊接钢管、角钢</w:t>
            </w:r>
            <w:r>
              <w:rPr>
                <w:rFonts w:hint="eastAsia"/>
                <w:sz w:val="24"/>
                <w:szCs w:val="24"/>
                <w:lang w:val="en-US"/>
              </w:rPr>
              <w:t>采购。</w:t>
            </w:r>
          </w:p>
          <w:p>
            <w:pPr>
              <w:spacing w:line="360" w:lineRule="auto"/>
              <w:jc w:val="both"/>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2150" w:type="dxa"/>
            <w:vAlign w:val="center"/>
          </w:tcPr>
          <w:p>
            <w:pPr>
              <w:spacing w:line="360" w:lineRule="auto"/>
              <w:jc w:val="center"/>
              <w:rPr>
                <w:sz w:val="24"/>
                <w:szCs w:val="24"/>
                <w:lang w:val="en-US"/>
              </w:rPr>
            </w:pPr>
            <w:r>
              <w:rPr>
                <w:rFonts w:hint="eastAsia"/>
                <w:sz w:val="24"/>
                <w:szCs w:val="24"/>
                <w:lang w:val="en-US"/>
              </w:rPr>
              <w:t>计划日期</w:t>
            </w:r>
          </w:p>
        </w:tc>
        <w:tc>
          <w:tcPr>
            <w:tcW w:w="5983"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2150" w:type="dxa"/>
            <w:vAlign w:val="center"/>
          </w:tcPr>
          <w:p>
            <w:pPr>
              <w:spacing w:line="360" w:lineRule="auto"/>
              <w:jc w:val="center"/>
              <w:rPr>
                <w:sz w:val="24"/>
                <w:szCs w:val="24"/>
                <w:lang w:val="en-US"/>
              </w:rPr>
            </w:pPr>
            <w:r>
              <w:rPr>
                <w:rFonts w:hint="eastAsia"/>
                <w:sz w:val="24"/>
                <w:szCs w:val="24"/>
                <w:lang w:val="en-US"/>
              </w:rPr>
              <w:t>质量要求</w:t>
            </w:r>
          </w:p>
        </w:tc>
        <w:tc>
          <w:tcPr>
            <w:tcW w:w="5983" w:type="dxa"/>
          </w:tcPr>
          <w:p>
            <w:pPr>
              <w:tabs>
                <w:tab w:val="left" w:pos="1388"/>
              </w:tabs>
              <w:spacing w:line="316" w:lineRule="auto"/>
              <w:ind w:right="468"/>
              <w:jc w:val="both"/>
              <w:rPr>
                <w:color w:val="FF0000"/>
                <w:sz w:val="24"/>
                <w:szCs w:val="24"/>
                <w:lang w:val="en-US"/>
              </w:rPr>
            </w:pPr>
            <w:r>
              <w:rPr>
                <w:rFonts w:hint="eastAsia"/>
                <w:color w:val="FF0000"/>
                <w:sz w:val="24"/>
                <w:szCs w:val="24"/>
                <w:lang w:val="en-US"/>
              </w:rPr>
              <w:t>一、焊接钢管规格、外形及重量</w:t>
            </w:r>
          </w:p>
          <w:p>
            <w:pPr>
              <w:tabs>
                <w:tab w:val="left" w:pos="1388"/>
              </w:tabs>
              <w:spacing w:line="316" w:lineRule="auto"/>
              <w:ind w:right="468"/>
              <w:jc w:val="both"/>
              <w:rPr>
                <w:color w:val="FF0000"/>
                <w:sz w:val="24"/>
                <w:szCs w:val="24"/>
                <w:lang w:val="en-US"/>
              </w:rPr>
            </w:pPr>
            <w:r>
              <w:rPr>
                <w:rFonts w:hint="eastAsia"/>
                <w:color w:val="FF0000"/>
                <w:sz w:val="24"/>
                <w:szCs w:val="24"/>
                <w:lang w:val="en-US"/>
              </w:rPr>
              <w:t>（一）、焊接钢管规格必须符合下表规定</w:t>
            </w:r>
            <w:r>
              <w:rPr>
                <w:color w:val="FF0000"/>
                <w:sz w:val="24"/>
                <w:szCs w:val="24"/>
                <w:lang w:val="en-US"/>
              </w:rPr>
              <w:t>:</w:t>
            </w:r>
          </w:p>
          <w:tbl>
            <w:tblPr>
              <w:tblStyle w:val="12"/>
              <w:tblpPr w:leftFromText="180" w:rightFromText="180" w:vertAnchor="text" w:horzAnchor="page" w:tblpX="24" w:tblpY="373"/>
              <w:tblOverlap w:val="never"/>
              <w:tblW w:w="5958" w:type="dxa"/>
              <w:tblInd w:w="0" w:type="dxa"/>
              <w:tblLayout w:type="fixed"/>
              <w:tblCellMar>
                <w:top w:w="0" w:type="dxa"/>
                <w:left w:w="0" w:type="dxa"/>
                <w:bottom w:w="0" w:type="dxa"/>
                <w:right w:w="0" w:type="dxa"/>
              </w:tblCellMar>
            </w:tblPr>
            <w:tblGrid>
              <w:gridCol w:w="562"/>
              <w:gridCol w:w="438"/>
              <w:gridCol w:w="437"/>
              <w:gridCol w:w="502"/>
              <w:gridCol w:w="688"/>
              <w:gridCol w:w="502"/>
              <w:gridCol w:w="753"/>
              <w:gridCol w:w="688"/>
              <w:gridCol w:w="502"/>
              <w:gridCol w:w="877"/>
              <w:gridCol w:w="9"/>
            </w:tblGrid>
            <w:tr>
              <w:tblPrEx>
                <w:tblCellMar>
                  <w:top w:w="0" w:type="dxa"/>
                  <w:left w:w="0" w:type="dxa"/>
                  <w:bottom w:w="0" w:type="dxa"/>
                  <w:right w:w="0" w:type="dxa"/>
                </w:tblCellMar>
              </w:tblPrEx>
              <w:trPr>
                <w:trHeight w:val="1014" w:hRule="atLeast"/>
              </w:trPr>
              <w:tc>
                <w:tcPr>
                  <w:tcW w:w="100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DN</w:t>
                  </w:r>
                </w:p>
              </w:tc>
              <w:tc>
                <w:tcPr>
                  <w:tcW w:w="939"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rFonts w:hint="eastAsia"/>
                      <w:color w:val="FF0000"/>
                      <w:sz w:val="11"/>
                      <w:szCs w:val="11"/>
                    </w:rPr>
                    <w:t>外径（</w:t>
                  </w:r>
                  <w:r>
                    <w:rPr>
                      <w:color w:val="FF0000"/>
                      <w:sz w:val="11"/>
                      <w:szCs w:val="11"/>
                    </w:rPr>
                    <w:t>mm</w:t>
                  </w:r>
                  <w:r>
                    <w:rPr>
                      <w:rFonts w:hint="eastAsia"/>
                      <w:color w:val="FF0000"/>
                      <w:sz w:val="11"/>
                      <w:szCs w:val="11"/>
                    </w:rPr>
                    <w:t>）</w:t>
                  </w:r>
                </w:p>
              </w:tc>
              <w:tc>
                <w:tcPr>
                  <w:tcW w:w="194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rFonts w:hint="eastAsia"/>
                      <w:color w:val="FF0000"/>
                      <w:sz w:val="11"/>
                      <w:szCs w:val="11"/>
                    </w:rPr>
                    <w:t>普通钢管</w:t>
                  </w:r>
                </w:p>
              </w:tc>
              <w:tc>
                <w:tcPr>
                  <w:tcW w:w="2076"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rFonts w:hint="eastAsia"/>
                      <w:color w:val="FF0000"/>
                      <w:sz w:val="11"/>
                      <w:szCs w:val="11"/>
                    </w:rPr>
                    <w:t>加厚钢管</w:t>
                  </w:r>
                </w:p>
              </w:tc>
            </w:tr>
            <w:tr>
              <w:trPr>
                <w:gridAfter w:val="1"/>
                <w:wAfter w:w="9" w:type="dxa"/>
                <w:cantSplit/>
                <w:trHeight w:val="1014" w:hRule="atLeast"/>
              </w:trPr>
              <w:tc>
                <w:tcPr>
                  <w:tcW w:w="562" w:type="dxa"/>
                  <w:vMerge w:val="restart"/>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rFonts w:hint="eastAsia"/>
                      <w:color w:val="FF0000"/>
                      <w:sz w:val="11"/>
                      <w:szCs w:val="11"/>
                    </w:rPr>
                    <w:t>（</w:t>
                  </w:r>
                  <w:r>
                    <w:rPr>
                      <w:color w:val="FF0000"/>
                      <w:sz w:val="11"/>
                      <w:szCs w:val="11"/>
                    </w:rPr>
                    <w:t>mm</w:t>
                  </w:r>
                  <w:r>
                    <w:rPr>
                      <w:rFonts w:hint="eastAsia"/>
                      <w:color w:val="FF0000"/>
                      <w:sz w:val="11"/>
                      <w:szCs w:val="11"/>
                    </w:rPr>
                    <w:t>）</w:t>
                  </w:r>
                </w:p>
              </w:tc>
              <w:tc>
                <w:tcPr>
                  <w:tcW w:w="438" w:type="dxa"/>
                  <w:vMerge w:val="restart"/>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rFonts w:hint="eastAsia"/>
                      <w:color w:val="FF0000"/>
                      <w:sz w:val="11"/>
                      <w:szCs w:val="11"/>
                    </w:rPr>
                    <w:t>（</w:t>
                  </w:r>
                  <w:r>
                    <w:rPr>
                      <w:color w:val="FF0000"/>
                      <w:sz w:val="11"/>
                      <w:szCs w:val="11"/>
                    </w:rPr>
                    <w:t>in</w:t>
                  </w:r>
                  <w:r>
                    <w:rPr>
                      <w:rFonts w:hint="eastAsia"/>
                      <w:color w:val="FF0000"/>
                      <w:sz w:val="11"/>
                      <w:szCs w:val="11"/>
                    </w:rPr>
                    <w:t>）</w:t>
                  </w:r>
                </w:p>
              </w:tc>
              <w:tc>
                <w:tcPr>
                  <w:tcW w:w="437" w:type="dxa"/>
                  <w:vMerge w:val="restart"/>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rFonts w:hint="eastAsia"/>
                      <w:color w:val="FF0000"/>
                      <w:sz w:val="11"/>
                      <w:szCs w:val="11"/>
                    </w:rPr>
                    <w:t>外径</w:t>
                  </w:r>
                </w:p>
              </w:tc>
              <w:tc>
                <w:tcPr>
                  <w:tcW w:w="502" w:type="dxa"/>
                  <w:vMerge w:val="restart"/>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rFonts w:hint="eastAsia"/>
                      <w:color w:val="FF0000"/>
                      <w:sz w:val="11"/>
                      <w:szCs w:val="11"/>
                    </w:rPr>
                    <w:t>允许</w:t>
                  </w:r>
                </w:p>
                <w:p>
                  <w:pPr>
                    <w:spacing w:line="500" w:lineRule="atLeast"/>
                    <w:jc w:val="center"/>
                    <w:rPr>
                      <w:color w:val="FF0000"/>
                      <w:sz w:val="11"/>
                      <w:szCs w:val="11"/>
                    </w:rPr>
                  </w:pPr>
                  <w:r>
                    <w:rPr>
                      <w:rFonts w:hint="eastAsia"/>
                      <w:color w:val="FF0000"/>
                      <w:sz w:val="11"/>
                      <w:szCs w:val="11"/>
                    </w:rPr>
                    <w:t>偏差</w:t>
                  </w:r>
                </w:p>
              </w:tc>
              <w:tc>
                <w:tcPr>
                  <w:tcW w:w="1190" w:type="dxa"/>
                  <w:gridSpan w:val="2"/>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rFonts w:hint="eastAsia"/>
                      <w:color w:val="FF0000"/>
                      <w:sz w:val="11"/>
                      <w:szCs w:val="11"/>
                    </w:rPr>
                    <w:t>壁</w:t>
                  </w:r>
                  <w:r>
                    <w:rPr>
                      <w:color w:val="FF0000"/>
                      <w:sz w:val="11"/>
                      <w:szCs w:val="11"/>
                    </w:rPr>
                    <w:t> </w:t>
                  </w:r>
                  <w:r>
                    <w:rPr>
                      <w:rFonts w:hint="eastAsia"/>
                      <w:color w:val="FF0000"/>
                      <w:sz w:val="11"/>
                      <w:szCs w:val="11"/>
                    </w:rPr>
                    <w:t>厚</w:t>
                  </w:r>
                </w:p>
              </w:tc>
              <w:tc>
                <w:tcPr>
                  <w:tcW w:w="75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rFonts w:hint="eastAsia"/>
                      <w:color w:val="FF0000"/>
                      <w:sz w:val="11"/>
                      <w:szCs w:val="11"/>
                    </w:rPr>
                    <w:t>单位重量</w:t>
                  </w:r>
                </w:p>
                <w:p>
                  <w:pPr>
                    <w:spacing w:line="500" w:lineRule="atLeast"/>
                    <w:jc w:val="center"/>
                    <w:rPr>
                      <w:color w:val="FF0000"/>
                      <w:sz w:val="11"/>
                      <w:szCs w:val="11"/>
                    </w:rPr>
                  </w:pPr>
                  <w:r>
                    <w:rPr>
                      <w:rFonts w:hint="eastAsia"/>
                      <w:color w:val="FF0000"/>
                      <w:sz w:val="11"/>
                      <w:szCs w:val="11"/>
                    </w:rPr>
                    <w:t>（㎏</w:t>
                  </w:r>
                  <w:r>
                    <w:rPr>
                      <w:color w:val="FF0000"/>
                      <w:sz w:val="11"/>
                      <w:szCs w:val="11"/>
                    </w:rPr>
                    <w:t>/m</w:t>
                  </w:r>
                  <w:r>
                    <w:rPr>
                      <w:rFonts w:hint="eastAsia"/>
                      <w:color w:val="FF0000"/>
                      <w:sz w:val="11"/>
                      <w:szCs w:val="11"/>
                    </w:rPr>
                    <w:t>）</w:t>
                  </w:r>
                </w:p>
              </w:tc>
              <w:tc>
                <w:tcPr>
                  <w:tcW w:w="11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rFonts w:hint="eastAsia"/>
                      <w:color w:val="FF0000"/>
                      <w:sz w:val="11"/>
                      <w:szCs w:val="11"/>
                    </w:rPr>
                    <w:t>壁</w:t>
                  </w:r>
                  <w:r>
                    <w:rPr>
                      <w:rFonts w:hint="eastAsia"/>
                      <w:color w:val="FF0000"/>
                      <w:sz w:val="11"/>
                      <w:szCs w:val="11"/>
                      <w:lang w:val="en-US"/>
                    </w:rPr>
                    <w:t xml:space="preserve"> </w:t>
                  </w:r>
                  <w:r>
                    <w:rPr>
                      <w:color w:val="FF0000"/>
                      <w:sz w:val="11"/>
                      <w:szCs w:val="11"/>
                    </w:rPr>
                    <w:t xml:space="preserve"> </w:t>
                  </w:r>
                  <w:r>
                    <w:rPr>
                      <w:rFonts w:hint="eastAsia"/>
                      <w:color w:val="FF0000"/>
                      <w:sz w:val="11"/>
                      <w:szCs w:val="11"/>
                    </w:rPr>
                    <w:t>厚</w:t>
                  </w:r>
                </w:p>
              </w:tc>
              <w:tc>
                <w:tcPr>
                  <w:tcW w:w="87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rFonts w:hint="eastAsia"/>
                      <w:color w:val="FF0000"/>
                      <w:sz w:val="11"/>
                      <w:szCs w:val="11"/>
                    </w:rPr>
                    <w:t>单位重量</w:t>
                  </w:r>
                </w:p>
                <w:p>
                  <w:pPr>
                    <w:spacing w:line="500" w:lineRule="atLeast"/>
                    <w:jc w:val="center"/>
                    <w:rPr>
                      <w:color w:val="FF0000"/>
                      <w:sz w:val="11"/>
                      <w:szCs w:val="11"/>
                    </w:rPr>
                  </w:pPr>
                  <w:r>
                    <w:rPr>
                      <w:rFonts w:hint="eastAsia"/>
                      <w:color w:val="FF0000"/>
                      <w:sz w:val="11"/>
                      <w:szCs w:val="11"/>
                    </w:rPr>
                    <w:t>（㎏</w:t>
                  </w:r>
                  <w:r>
                    <w:rPr>
                      <w:color w:val="FF0000"/>
                      <w:sz w:val="11"/>
                      <w:szCs w:val="11"/>
                    </w:rPr>
                    <w:t>/m</w:t>
                  </w:r>
                  <w:r>
                    <w:rPr>
                      <w:rFonts w:hint="eastAsia"/>
                      <w:color w:val="FF0000"/>
                      <w:sz w:val="11"/>
                      <w:szCs w:val="11"/>
                    </w:rPr>
                    <w:t>）</w:t>
                  </w:r>
                </w:p>
              </w:tc>
            </w:tr>
            <w:tr>
              <w:trPr>
                <w:gridAfter w:val="1"/>
                <w:wAfter w:w="9" w:type="dxa"/>
                <w:cantSplit/>
                <w:trHeight w:val="1451" w:hRule="atLeast"/>
              </w:trPr>
              <w:tc>
                <w:tcPr>
                  <w:tcW w:w="562" w:type="dxa"/>
                  <w:vMerge w:val="continue"/>
                  <w:tcBorders>
                    <w:top w:val="nil"/>
                    <w:left w:val="single" w:color="auto" w:sz="8" w:space="0"/>
                    <w:bottom w:val="single" w:color="auto" w:sz="8" w:space="0"/>
                    <w:right w:val="single" w:color="auto" w:sz="8" w:space="0"/>
                  </w:tcBorders>
                  <w:vAlign w:val="center"/>
                </w:tcPr>
                <w:p>
                  <w:pPr>
                    <w:rPr>
                      <w:color w:val="FF0000"/>
                      <w:sz w:val="11"/>
                      <w:szCs w:val="11"/>
                    </w:rPr>
                  </w:pPr>
                </w:p>
              </w:tc>
              <w:tc>
                <w:tcPr>
                  <w:tcW w:w="438" w:type="dxa"/>
                  <w:vMerge w:val="continue"/>
                  <w:tcBorders>
                    <w:top w:val="nil"/>
                    <w:left w:val="nil"/>
                    <w:bottom w:val="single" w:color="auto" w:sz="8" w:space="0"/>
                    <w:right w:val="single" w:color="auto" w:sz="8" w:space="0"/>
                  </w:tcBorders>
                  <w:vAlign w:val="center"/>
                </w:tcPr>
                <w:p>
                  <w:pPr>
                    <w:rPr>
                      <w:color w:val="FF0000"/>
                      <w:sz w:val="11"/>
                      <w:szCs w:val="11"/>
                    </w:rPr>
                  </w:pPr>
                </w:p>
              </w:tc>
              <w:tc>
                <w:tcPr>
                  <w:tcW w:w="437" w:type="dxa"/>
                  <w:vMerge w:val="continue"/>
                  <w:tcBorders>
                    <w:top w:val="nil"/>
                    <w:left w:val="nil"/>
                    <w:bottom w:val="single" w:color="auto" w:sz="8" w:space="0"/>
                    <w:right w:val="single" w:color="auto" w:sz="8" w:space="0"/>
                  </w:tcBorders>
                  <w:vAlign w:val="center"/>
                </w:tcPr>
                <w:p>
                  <w:pPr>
                    <w:rPr>
                      <w:color w:val="FF0000"/>
                      <w:sz w:val="11"/>
                      <w:szCs w:val="11"/>
                    </w:rPr>
                  </w:pP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360" w:lineRule="atLeast"/>
                    <w:jc w:val="center"/>
                    <w:rPr>
                      <w:color w:val="FF0000"/>
                      <w:sz w:val="11"/>
                      <w:szCs w:val="11"/>
                    </w:rPr>
                  </w:pPr>
                  <w:r>
                    <w:rPr>
                      <w:rFonts w:hint="eastAsia"/>
                      <w:color w:val="FF0000"/>
                      <w:sz w:val="11"/>
                      <w:szCs w:val="11"/>
                    </w:rPr>
                    <w:t>公称尺寸</w:t>
                  </w:r>
                </w:p>
                <w:p>
                  <w:pPr>
                    <w:spacing w:line="360" w:lineRule="atLeast"/>
                    <w:jc w:val="center"/>
                    <w:rPr>
                      <w:color w:val="FF0000"/>
                      <w:sz w:val="11"/>
                      <w:szCs w:val="11"/>
                    </w:rPr>
                  </w:pPr>
                  <w:r>
                    <w:rPr>
                      <w:rFonts w:hint="eastAsia"/>
                      <w:color w:val="FF0000"/>
                      <w:sz w:val="11"/>
                      <w:szCs w:val="11"/>
                    </w:rPr>
                    <w:t>（</w:t>
                  </w:r>
                  <w:r>
                    <w:rPr>
                      <w:color w:val="FF0000"/>
                      <w:sz w:val="11"/>
                      <w:szCs w:val="11"/>
                    </w:rPr>
                    <w:t>mm</w:t>
                  </w:r>
                  <w:r>
                    <w:rPr>
                      <w:rFonts w:hint="eastAsia"/>
                      <w:color w:val="FF0000"/>
                      <w:sz w:val="11"/>
                      <w:szCs w:val="11"/>
                    </w:rPr>
                    <w:t>）</w:t>
                  </w:r>
                </w:p>
              </w:tc>
              <w:tc>
                <w:tcPr>
                  <w:tcW w:w="502" w:type="dxa"/>
                  <w:tcBorders>
                    <w:top w:val="nil"/>
                    <w:left w:val="nil"/>
                    <w:bottom w:val="single" w:color="auto" w:sz="8" w:space="0"/>
                    <w:right w:val="single" w:color="auto" w:sz="8" w:space="0"/>
                  </w:tcBorders>
                  <w:vAlign w:val="center"/>
                </w:tcPr>
                <w:p>
                  <w:pPr>
                    <w:spacing w:line="360" w:lineRule="atLeast"/>
                    <w:jc w:val="center"/>
                    <w:rPr>
                      <w:color w:val="FF0000"/>
                      <w:sz w:val="11"/>
                      <w:szCs w:val="11"/>
                    </w:rPr>
                  </w:pPr>
                  <w:r>
                    <w:rPr>
                      <w:rFonts w:hint="eastAsia"/>
                      <w:color w:val="FF0000"/>
                      <w:sz w:val="11"/>
                      <w:szCs w:val="11"/>
                    </w:rPr>
                    <w:t>允许</w:t>
                  </w:r>
                </w:p>
                <w:p>
                  <w:pPr>
                    <w:spacing w:line="360" w:lineRule="atLeast"/>
                    <w:jc w:val="center"/>
                    <w:rPr>
                      <w:color w:val="FF0000"/>
                      <w:sz w:val="11"/>
                      <w:szCs w:val="11"/>
                    </w:rPr>
                  </w:pPr>
                  <w:r>
                    <w:rPr>
                      <w:rFonts w:hint="eastAsia"/>
                      <w:color w:val="FF0000"/>
                      <w:sz w:val="11"/>
                      <w:szCs w:val="11"/>
                    </w:rPr>
                    <w:t>偏差</w:t>
                  </w:r>
                </w:p>
              </w:tc>
              <w:tc>
                <w:tcPr>
                  <w:tcW w:w="753"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color w:val="FF0000"/>
                      <w:sz w:val="11"/>
                      <w:szCs w:val="11"/>
                    </w:rPr>
                  </w:pPr>
                  <w:r>
                    <w:rPr>
                      <w:rFonts w:hint="eastAsia"/>
                      <w:color w:val="FF0000"/>
                      <w:sz w:val="11"/>
                      <w:szCs w:val="11"/>
                    </w:rPr>
                    <w:t>公称尺寸</w:t>
                  </w:r>
                </w:p>
                <w:p>
                  <w:pPr>
                    <w:spacing w:line="360" w:lineRule="atLeast"/>
                    <w:jc w:val="center"/>
                    <w:rPr>
                      <w:color w:val="FF0000"/>
                      <w:sz w:val="11"/>
                      <w:szCs w:val="11"/>
                    </w:rPr>
                  </w:pPr>
                  <w:r>
                    <w:rPr>
                      <w:rFonts w:hint="eastAsia"/>
                      <w:color w:val="FF0000"/>
                      <w:sz w:val="11"/>
                      <w:szCs w:val="11"/>
                    </w:rPr>
                    <w:t>（</w:t>
                  </w:r>
                  <w:r>
                    <w:rPr>
                      <w:color w:val="FF0000"/>
                      <w:sz w:val="11"/>
                      <w:szCs w:val="11"/>
                    </w:rPr>
                    <w:t>mm</w:t>
                  </w:r>
                  <w:r>
                    <w:rPr>
                      <w:rFonts w:hint="eastAsia"/>
                      <w:color w:val="FF0000"/>
                      <w:sz w:val="11"/>
                      <w:szCs w:val="11"/>
                    </w:rPr>
                    <w:t>）</w:t>
                  </w:r>
                </w:p>
              </w:tc>
              <w:tc>
                <w:tcPr>
                  <w:tcW w:w="5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color w:val="FF0000"/>
                      <w:sz w:val="11"/>
                      <w:szCs w:val="11"/>
                    </w:rPr>
                  </w:pPr>
                  <w:r>
                    <w:rPr>
                      <w:rFonts w:hint="eastAsia"/>
                      <w:color w:val="FF0000"/>
                      <w:sz w:val="11"/>
                      <w:szCs w:val="11"/>
                    </w:rPr>
                    <w:t>允许</w:t>
                  </w:r>
                </w:p>
                <w:p>
                  <w:pPr>
                    <w:spacing w:line="360" w:lineRule="atLeast"/>
                    <w:jc w:val="center"/>
                    <w:rPr>
                      <w:color w:val="FF0000"/>
                      <w:sz w:val="11"/>
                      <w:szCs w:val="11"/>
                    </w:rPr>
                  </w:pPr>
                  <w:r>
                    <w:rPr>
                      <w:rFonts w:hint="eastAsia"/>
                      <w:color w:val="FF0000"/>
                      <w:sz w:val="11"/>
                      <w:szCs w:val="11"/>
                    </w:rPr>
                    <w:t>偏差</w:t>
                  </w:r>
                </w:p>
              </w:tc>
              <w:tc>
                <w:tcPr>
                  <w:tcW w:w="877" w:type="dxa"/>
                  <w:vMerge w:val="continue"/>
                  <w:tcBorders>
                    <w:top w:val="nil"/>
                    <w:left w:val="nil"/>
                    <w:bottom w:val="single" w:color="auto" w:sz="8" w:space="0"/>
                    <w:right w:val="single" w:color="auto" w:sz="8" w:space="0"/>
                  </w:tcBorders>
                  <w:vAlign w:val="center"/>
                </w:tcPr>
                <w:p>
                  <w:pPr>
                    <w:rPr>
                      <w:color w:val="FF0000"/>
                      <w:sz w:val="11"/>
                      <w:szCs w:val="11"/>
                    </w:rPr>
                  </w:pPr>
                </w:p>
              </w:tc>
            </w:tr>
            <w:tr>
              <w:trPr>
                <w:gridAfter w:val="1"/>
                <w:wAfter w:w="9" w:type="dxa"/>
                <w:cantSplit/>
                <w:trHeight w:val="1014" w:hRule="atLeast"/>
              </w:trPr>
              <w:tc>
                <w:tcPr>
                  <w:tcW w:w="5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6</w:t>
                  </w:r>
                </w:p>
              </w:tc>
              <w:tc>
                <w:tcPr>
                  <w:tcW w:w="43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1/8</w:t>
                  </w:r>
                </w:p>
              </w:tc>
              <w:tc>
                <w:tcPr>
                  <w:tcW w:w="4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10</w:t>
                  </w:r>
                </w:p>
              </w:tc>
              <w:tc>
                <w:tcPr>
                  <w:tcW w:w="50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rFonts w:hint="eastAsia"/>
                      <w:color w:val="FF0000"/>
                      <w:sz w:val="11"/>
                      <w:szCs w:val="11"/>
                    </w:rPr>
                    <w:t>±</w:t>
                  </w:r>
                  <w:r>
                    <w:rPr>
                      <w:color w:val="FF0000"/>
                      <w:sz w:val="11"/>
                      <w:szCs w:val="11"/>
                    </w:rPr>
                    <w:t>.50</w:t>
                  </w:r>
                </w:p>
                <w:p>
                  <w:pPr>
                    <w:spacing w:line="500" w:lineRule="atLeast"/>
                    <w:jc w:val="center"/>
                    <w:rPr>
                      <w:color w:val="FF0000"/>
                      <w:sz w:val="11"/>
                      <w:szCs w:val="11"/>
                    </w:rPr>
                  </w:pPr>
                  <w:r>
                    <w:rPr>
                      <w:color w:val="FF0000"/>
                      <w:sz w:val="11"/>
                      <w:szCs w:val="11"/>
                    </w:rPr>
                    <w:t>~</w:t>
                  </w:r>
                </w:p>
                <w:p>
                  <w:pPr>
                    <w:spacing w:line="500" w:lineRule="atLeast"/>
                    <w:jc w:val="center"/>
                    <w:rPr>
                      <w:color w:val="FF0000"/>
                      <w:sz w:val="11"/>
                      <w:szCs w:val="11"/>
                    </w:rPr>
                  </w:pPr>
                  <w:r>
                    <w:rPr>
                      <w:color w:val="FF0000"/>
                      <w:sz w:val="11"/>
                      <w:szCs w:val="11"/>
                    </w:rPr>
                    <w:t>1%</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2.06</w:t>
                  </w:r>
                </w:p>
              </w:tc>
              <w:tc>
                <w:tcPr>
                  <w:tcW w:w="50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12%</w:t>
                  </w:r>
                </w:p>
                <w:p>
                  <w:pPr>
                    <w:spacing w:line="500" w:lineRule="atLeast"/>
                    <w:jc w:val="center"/>
                    <w:rPr>
                      <w:color w:val="FF0000"/>
                      <w:sz w:val="11"/>
                      <w:szCs w:val="11"/>
                    </w:rPr>
                  </w:pPr>
                  <w:r>
                    <w:rPr>
                      <w:color w:val="FF0000"/>
                      <w:sz w:val="11"/>
                      <w:szCs w:val="11"/>
                    </w:rPr>
                    <w:t>~</w:t>
                  </w:r>
                </w:p>
                <w:p>
                  <w:pPr>
                    <w:spacing w:line="500" w:lineRule="atLeast"/>
                    <w:jc w:val="center"/>
                    <w:rPr>
                      <w:color w:val="FF0000"/>
                      <w:sz w:val="11"/>
                      <w:szCs w:val="11"/>
                    </w:rPr>
                  </w:pPr>
                  <w:r>
                    <w:rPr>
                      <w:color w:val="FF0000"/>
                      <w:sz w:val="11"/>
                      <w:szCs w:val="11"/>
                    </w:rPr>
                    <w:t>15%</w:t>
                  </w: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0.39</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2.5</w:t>
                  </w:r>
                </w:p>
              </w:tc>
              <w:tc>
                <w:tcPr>
                  <w:tcW w:w="50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+12%</w:t>
                  </w:r>
                </w:p>
                <w:p>
                  <w:pPr>
                    <w:spacing w:line="500" w:lineRule="atLeast"/>
                    <w:jc w:val="center"/>
                    <w:rPr>
                      <w:color w:val="FF0000"/>
                      <w:sz w:val="11"/>
                      <w:szCs w:val="11"/>
                    </w:rPr>
                  </w:pPr>
                  <w:r>
                    <w:rPr>
                      <w:color w:val="FF0000"/>
                      <w:sz w:val="11"/>
                      <w:szCs w:val="11"/>
                    </w:rPr>
                    <w:t>~</w:t>
                  </w:r>
                </w:p>
                <w:p>
                  <w:pPr>
                    <w:spacing w:line="500" w:lineRule="atLeast"/>
                    <w:jc w:val="center"/>
                    <w:rPr>
                      <w:color w:val="FF0000"/>
                      <w:sz w:val="11"/>
                      <w:szCs w:val="11"/>
                    </w:rPr>
                  </w:pPr>
                  <w:r>
                    <w:rPr>
                      <w:color w:val="FF0000"/>
                      <w:sz w:val="11"/>
                      <w:szCs w:val="11"/>
                    </w:rPr>
                    <w:t>15%</w:t>
                  </w: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0.46</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8</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1/4</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13.5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2.25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0.62</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2.75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0.73</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10</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3/8</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17.0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2.25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0.82</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2.75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0.97</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15</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1/2</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21.3</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2.75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1.26</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3.25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1.45</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20</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3/4</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26.8</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2.75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1.63</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3.50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2.01</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25</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33.5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3.25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2.42</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4.00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2.91</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32</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w:t>
                  </w:r>
                  <w:r>
                    <w:rPr>
                      <w:color w:val="FF0000"/>
                      <w:sz w:val="11"/>
                      <w:szCs w:val="11"/>
                      <w:vertAlign w:val="superscript"/>
                    </w:rPr>
                    <w:t>1</w:t>
                  </w:r>
                  <w:r>
                    <w:rPr>
                      <w:color w:val="FF0000"/>
                      <w:sz w:val="11"/>
                      <w:szCs w:val="11"/>
                    </w:rPr>
                    <w:t>/</w:t>
                  </w:r>
                  <w:r>
                    <w:rPr>
                      <w:color w:val="FF0000"/>
                      <w:sz w:val="11"/>
                      <w:szCs w:val="11"/>
                      <w:vertAlign w:val="subscript"/>
                    </w:rPr>
                    <w:t>4</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42.3</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3.25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3.13</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4.00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3.78</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40</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w:t>
                  </w:r>
                  <w:r>
                    <w:rPr>
                      <w:color w:val="FF0000"/>
                      <w:sz w:val="11"/>
                      <w:szCs w:val="11"/>
                      <w:vertAlign w:val="superscript"/>
                    </w:rPr>
                    <w:t>1</w:t>
                  </w:r>
                  <w:r>
                    <w:rPr>
                      <w:color w:val="FF0000"/>
                      <w:sz w:val="11"/>
                      <w:szCs w:val="11"/>
                    </w:rPr>
                    <w:t>/</w:t>
                  </w:r>
                  <w:r>
                    <w:rPr>
                      <w:color w:val="FF0000"/>
                      <w:sz w:val="11"/>
                      <w:szCs w:val="11"/>
                      <w:vertAlign w:val="subscript"/>
                    </w:rPr>
                    <w:t>2</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48.0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3.84</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4.25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4.58</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50</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60.0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4.88</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4.50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6.16</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65</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2</w:t>
                  </w:r>
                  <w:r>
                    <w:rPr>
                      <w:color w:val="FF0000"/>
                      <w:sz w:val="11"/>
                      <w:szCs w:val="11"/>
                      <w:vertAlign w:val="superscript"/>
                    </w:rPr>
                    <w:t>1</w:t>
                  </w:r>
                  <w:r>
                    <w:rPr>
                      <w:color w:val="FF0000"/>
                      <w:sz w:val="11"/>
                      <w:szCs w:val="11"/>
                    </w:rPr>
                    <w:t>/</w:t>
                  </w:r>
                  <w:r>
                    <w:rPr>
                      <w:color w:val="FF0000"/>
                      <w:sz w:val="11"/>
                      <w:szCs w:val="11"/>
                      <w:vertAlign w:val="subscript"/>
                    </w:rPr>
                    <w:t>2</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75.5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3.75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6.64</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4.50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7.88</w:t>
                  </w:r>
                </w:p>
              </w:tc>
            </w:tr>
            <w:tr>
              <w:trPr>
                <w:gridAfter w:val="1"/>
                <w:wAfter w:w="9" w:type="dxa"/>
                <w:cantSplit/>
                <w:trHeight w:val="517"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80</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3</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88.5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4.00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8.34</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4.75</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9.81</w:t>
                  </w:r>
                </w:p>
              </w:tc>
            </w:tr>
            <w:tr>
              <w:trPr>
                <w:gridAfter w:val="1"/>
                <w:wAfter w:w="9" w:type="dxa"/>
                <w:cantSplit/>
                <w:trHeight w:val="1014"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100</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4</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114.0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4.00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10.85</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5.00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13.44</w:t>
                  </w:r>
                </w:p>
              </w:tc>
            </w:tr>
            <w:tr>
              <w:tblPrEx>
                <w:tblCellMar>
                  <w:top w:w="0" w:type="dxa"/>
                  <w:left w:w="0" w:type="dxa"/>
                  <w:bottom w:w="0" w:type="dxa"/>
                  <w:right w:w="0" w:type="dxa"/>
                </w:tblCellMar>
              </w:tblPrEx>
              <w:trPr>
                <w:gridAfter w:val="1"/>
                <w:wAfter w:w="9" w:type="dxa"/>
                <w:cantSplit/>
                <w:trHeight w:val="1014"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125</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5</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140.0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4.50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15.04</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5.50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18.24</w:t>
                  </w:r>
                </w:p>
              </w:tc>
            </w:tr>
            <w:tr>
              <w:tblPrEx>
                <w:tblCellMar>
                  <w:top w:w="0" w:type="dxa"/>
                  <w:left w:w="0" w:type="dxa"/>
                  <w:bottom w:w="0" w:type="dxa"/>
                  <w:right w:w="0" w:type="dxa"/>
                </w:tblCellMar>
              </w:tblPrEx>
              <w:trPr>
                <w:gridAfter w:val="1"/>
                <w:wAfter w:w="9" w:type="dxa"/>
                <w:cantSplit/>
                <w:trHeight w:val="1034" w:hRule="atLeast"/>
              </w:trPr>
              <w:tc>
                <w:tcPr>
                  <w:tcW w:w="562" w:type="dxa"/>
                  <w:tcBorders>
                    <w:top w:val="nil"/>
                    <w:left w:val="single" w:color="auto" w:sz="8" w:space="0"/>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150</w:t>
                  </w:r>
                </w:p>
              </w:tc>
              <w:tc>
                <w:tcPr>
                  <w:tcW w:w="43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6</w:t>
                  </w:r>
                </w:p>
              </w:tc>
              <w:tc>
                <w:tcPr>
                  <w:tcW w:w="437"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165.0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688" w:type="dxa"/>
                  <w:tcBorders>
                    <w:top w:val="nil"/>
                    <w:left w:val="nil"/>
                    <w:bottom w:val="single" w:color="auto" w:sz="8" w:space="0"/>
                    <w:right w:val="single" w:color="auto" w:sz="8" w:space="0"/>
                  </w:tcBorders>
                  <w:vAlign w:val="center"/>
                </w:tcPr>
                <w:p>
                  <w:pPr>
                    <w:spacing w:line="500" w:lineRule="atLeast"/>
                    <w:jc w:val="center"/>
                    <w:rPr>
                      <w:color w:val="FF0000"/>
                      <w:sz w:val="11"/>
                      <w:szCs w:val="11"/>
                    </w:rPr>
                  </w:pPr>
                  <w:r>
                    <w:rPr>
                      <w:color w:val="FF0000"/>
                      <w:sz w:val="11"/>
                      <w:szCs w:val="11"/>
                    </w:rPr>
                    <w:t>4.50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7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17.81</w:t>
                  </w:r>
                </w:p>
              </w:tc>
              <w:tc>
                <w:tcPr>
                  <w:tcW w:w="6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5.50</w:t>
                  </w:r>
                </w:p>
              </w:tc>
              <w:tc>
                <w:tcPr>
                  <w:tcW w:w="502" w:type="dxa"/>
                  <w:vMerge w:val="continue"/>
                  <w:tcBorders>
                    <w:top w:val="nil"/>
                    <w:left w:val="nil"/>
                    <w:bottom w:val="single" w:color="auto" w:sz="8" w:space="0"/>
                    <w:right w:val="single" w:color="auto" w:sz="8" w:space="0"/>
                  </w:tcBorders>
                  <w:vAlign w:val="center"/>
                </w:tcPr>
                <w:p>
                  <w:pPr>
                    <w:rPr>
                      <w:color w:val="FF0000"/>
                      <w:sz w:val="11"/>
                      <w:szCs w:val="11"/>
                    </w:rPr>
                  </w:pPr>
                </w:p>
              </w:tc>
              <w:tc>
                <w:tcPr>
                  <w:tcW w:w="8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00" w:lineRule="atLeast"/>
                    <w:jc w:val="center"/>
                    <w:rPr>
                      <w:color w:val="FF0000"/>
                      <w:sz w:val="11"/>
                      <w:szCs w:val="11"/>
                    </w:rPr>
                  </w:pPr>
                  <w:r>
                    <w:rPr>
                      <w:color w:val="FF0000"/>
                      <w:sz w:val="11"/>
                      <w:szCs w:val="11"/>
                    </w:rPr>
                    <w:t>21.63</w:t>
                  </w:r>
                </w:p>
              </w:tc>
            </w:tr>
          </w:tbl>
          <w:p>
            <w:pPr>
              <w:tabs>
                <w:tab w:val="left" w:pos="1388"/>
              </w:tabs>
              <w:spacing w:line="316" w:lineRule="auto"/>
              <w:ind w:right="468"/>
              <w:jc w:val="both"/>
              <w:rPr>
                <w:color w:val="FF0000"/>
                <w:sz w:val="24"/>
                <w:szCs w:val="24"/>
                <w:lang w:val="en-US"/>
              </w:rPr>
            </w:pPr>
          </w:p>
          <w:p>
            <w:pPr>
              <w:tabs>
                <w:tab w:val="left" w:pos="1388"/>
              </w:tabs>
              <w:spacing w:line="316" w:lineRule="auto"/>
              <w:ind w:right="468"/>
              <w:jc w:val="both"/>
              <w:rPr>
                <w:color w:val="FF0000"/>
                <w:sz w:val="24"/>
                <w:szCs w:val="24"/>
                <w:lang w:val="en-US"/>
              </w:rPr>
            </w:pPr>
            <w:r>
              <w:rPr>
                <w:rFonts w:hint="eastAsia"/>
                <w:color w:val="FF0000"/>
                <w:sz w:val="24"/>
                <w:szCs w:val="24"/>
                <w:lang w:val="en-US"/>
              </w:rPr>
              <w:t>二）、外形及重量</w:t>
            </w:r>
          </w:p>
          <w:p>
            <w:pPr>
              <w:tabs>
                <w:tab w:val="left" w:pos="1388"/>
              </w:tabs>
              <w:spacing w:line="316" w:lineRule="auto"/>
              <w:ind w:right="468"/>
              <w:jc w:val="both"/>
              <w:rPr>
                <w:color w:val="FF0000"/>
                <w:sz w:val="24"/>
                <w:szCs w:val="24"/>
                <w:lang w:val="en-US"/>
              </w:rPr>
            </w:pPr>
            <w:r>
              <w:rPr>
                <w:color w:val="FF0000"/>
                <w:sz w:val="24"/>
                <w:szCs w:val="24"/>
                <w:lang w:val="en-US"/>
              </w:rPr>
              <w:t>1、通常长度</w:t>
            </w:r>
          </w:p>
          <w:p>
            <w:pPr>
              <w:tabs>
                <w:tab w:val="left" w:pos="1388"/>
              </w:tabs>
              <w:spacing w:line="316" w:lineRule="auto"/>
              <w:ind w:right="468"/>
              <w:jc w:val="both"/>
              <w:rPr>
                <w:color w:val="FF0000"/>
                <w:sz w:val="24"/>
                <w:szCs w:val="24"/>
                <w:lang w:val="en-US"/>
              </w:rPr>
            </w:pPr>
            <w:r>
              <w:rPr>
                <w:color w:val="FF0000"/>
                <w:sz w:val="24"/>
                <w:szCs w:val="24"/>
                <w:lang w:val="en-US"/>
              </w:rPr>
              <w:t xml:space="preserve">    </w:t>
            </w:r>
            <w:r>
              <w:rPr>
                <w:rFonts w:hint="eastAsia"/>
                <w:color w:val="FF0000"/>
                <w:sz w:val="24"/>
                <w:szCs w:val="24"/>
                <w:lang w:val="en-US"/>
              </w:rPr>
              <w:t>焊接</w:t>
            </w:r>
            <w:r>
              <w:rPr>
                <w:color w:val="FF0000"/>
                <w:sz w:val="24"/>
                <w:szCs w:val="24"/>
                <w:lang w:val="en-US"/>
              </w:rPr>
              <w:t>钢管的长度为6m，每批允许体重量不大于总重量5%，长度不小于2m的短尺钢管。</w:t>
            </w:r>
          </w:p>
          <w:p>
            <w:pPr>
              <w:tabs>
                <w:tab w:val="left" w:pos="1388"/>
              </w:tabs>
              <w:spacing w:line="316" w:lineRule="auto"/>
              <w:ind w:right="468"/>
              <w:jc w:val="both"/>
              <w:rPr>
                <w:color w:val="FF0000"/>
                <w:sz w:val="24"/>
                <w:szCs w:val="24"/>
                <w:lang w:val="en-US"/>
              </w:rPr>
            </w:pPr>
            <w:r>
              <w:rPr>
                <w:color w:val="FF0000"/>
                <w:sz w:val="24"/>
                <w:szCs w:val="24"/>
                <w:lang w:val="en-US"/>
              </w:rPr>
              <w:t>2、定尺长度</w:t>
            </w:r>
          </w:p>
          <w:p>
            <w:pPr>
              <w:tabs>
                <w:tab w:val="left" w:pos="1388"/>
              </w:tabs>
              <w:spacing w:line="316" w:lineRule="auto"/>
              <w:ind w:right="468"/>
              <w:jc w:val="both"/>
              <w:rPr>
                <w:color w:val="FF0000"/>
                <w:sz w:val="24"/>
                <w:szCs w:val="24"/>
                <w:lang w:val="en-US"/>
              </w:rPr>
            </w:pPr>
            <w:r>
              <w:rPr>
                <w:color w:val="FF0000"/>
                <w:sz w:val="24"/>
                <w:szCs w:val="24"/>
                <w:lang w:val="en-US"/>
              </w:rPr>
              <w:t xml:space="preserve">    </w:t>
            </w:r>
            <w:r>
              <w:rPr>
                <w:rFonts w:hint="eastAsia"/>
                <w:color w:val="FF0000"/>
                <w:sz w:val="24"/>
                <w:szCs w:val="24"/>
                <w:lang w:val="en-US"/>
              </w:rPr>
              <w:t>焊接</w:t>
            </w:r>
            <w:r>
              <w:rPr>
                <w:color w:val="FF0000"/>
                <w:sz w:val="24"/>
                <w:szCs w:val="24"/>
                <w:lang w:val="en-US"/>
              </w:rPr>
              <w:t>钢管的主尺长度应在通常长度范围内其长度允许偏差为+20mm。</w:t>
            </w:r>
          </w:p>
          <w:p>
            <w:pPr>
              <w:tabs>
                <w:tab w:val="left" w:pos="1388"/>
              </w:tabs>
              <w:spacing w:line="316" w:lineRule="auto"/>
              <w:ind w:right="468"/>
              <w:jc w:val="both"/>
              <w:rPr>
                <w:color w:val="FF0000"/>
                <w:sz w:val="24"/>
                <w:szCs w:val="24"/>
                <w:lang w:val="en-US"/>
              </w:rPr>
            </w:pPr>
            <w:r>
              <w:rPr>
                <w:color w:val="FF0000"/>
                <w:sz w:val="24"/>
                <w:szCs w:val="24"/>
                <w:lang w:val="en-US"/>
              </w:rPr>
              <w:t>3、倍尺长度</w:t>
            </w:r>
          </w:p>
          <w:p>
            <w:pPr>
              <w:tabs>
                <w:tab w:val="left" w:pos="1388"/>
              </w:tabs>
              <w:spacing w:line="316" w:lineRule="auto"/>
              <w:ind w:right="468"/>
              <w:jc w:val="both"/>
              <w:rPr>
                <w:color w:val="FF0000"/>
                <w:sz w:val="24"/>
                <w:szCs w:val="24"/>
                <w:lang w:val="en-US"/>
              </w:rPr>
            </w:pPr>
            <w:r>
              <w:rPr>
                <w:color w:val="FF0000"/>
                <w:sz w:val="24"/>
                <w:szCs w:val="24"/>
                <w:lang w:val="en-US"/>
              </w:rPr>
              <w:t xml:space="preserve">    </w:t>
            </w:r>
            <w:r>
              <w:rPr>
                <w:rFonts w:hint="eastAsia"/>
                <w:color w:val="FF0000"/>
                <w:sz w:val="24"/>
                <w:szCs w:val="24"/>
                <w:lang w:val="en-US"/>
              </w:rPr>
              <w:t>焊接</w:t>
            </w:r>
            <w:r>
              <w:rPr>
                <w:color w:val="FF0000"/>
                <w:sz w:val="24"/>
                <w:szCs w:val="24"/>
                <w:lang w:val="en-US"/>
              </w:rPr>
              <w:t>钢管的倍尺长度应在通常长度范围内其余长允许偏差为+20mm。每个倍尺应留5mm-10mm的切口余量。</w:t>
            </w:r>
          </w:p>
          <w:p>
            <w:pPr>
              <w:tabs>
                <w:tab w:val="left" w:pos="1388"/>
              </w:tabs>
              <w:spacing w:line="316" w:lineRule="auto"/>
              <w:ind w:right="468"/>
              <w:jc w:val="both"/>
              <w:rPr>
                <w:color w:val="FF0000"/>
                <w:sz w:val="24"/>
                <w:szCs w:val="24"/>
                <w:lang w:val="en-US"/>
              </w:rPr>
            </w:pPr>
            <w:r>
              <w:rPr>
                <w:color w:val="FF0000"/>
                <w:sz w:val="24"/>
                <w:szCs w:val="24"/>
                <w:lang w:val="en-US"/>
              </w:rPr>
              <w:t>4、弯曲度</w:t>
            </w:r>
          </w:p>
          <w:p>
            <w:pPr>
              <w:tabs>
                <w:tab w:val="left" w:pos="1388"/>
              </w:tabs>
              <w:spacing w:line="316" w:lineRule="auto"/>
              <w:ind w:right="468"/>
              <w:jc w:val="both"/>
              <w:rPr>
                <w:color w:val="FF0000"/>
                <w:sz w:val="24"/>
                <w:szCs w:val="24"/>
                <w:lang w:val="en-US"/>
              </w:rPr>
            </w:pPr>
            <w:r>
              <w:rPr>
                <w:color w:val="FF0000"/>
                <w:sz w:val="24"/>
                <w:szCs w:val="24"/>
                <w:lang w:val="en-US"/>
              </w:rPr>
              <w:t xml:space="preserve">   </w:t>
            </w:r>
            <w:r>
              <w:rPr>
                <w:rFonts w:hint="eastAsia"/>
                <w:color w:val="FF0000"/>
                <w:sz w:val="24"/>
                <w:szCs w:val="24"/>
                <w:lang w:val="en-US"/>
              </w:rPr>
              <w:t>焊接</w:t>
            </w:r>
            <w:r>
              <w:rPr>
                <w:color w:val="FF0000"/>
                <w:sz w:val="24"/>
                <w:szCs w:val="24"/>
                <w:lang w:val="en-US"/>
              </w:rPr>
              <w:t>钢管应具有使用性的直度。</w:t>
            </w:r>
          </w:p>
          <w:p>
            <w:pPr>
              <w:tabs>
                <w:tab w:val="left" w:pos="1388"/>
              </w:tabs>
              <w:spacing w:line="316" w:lineRule="auto"/>
              <w:ind w:right="468"/>
              <w:jc w:val="both"/>
              <w:rPr>
                <w:color w:val="FF0000"/>
                <w:sz w:val="24"/>
                <w:szCs w:val="24"/>
                <w:lang w:val="en-US"/>
              </w:rPr>
            </w:pPr>
            <w:r>
              <w:rPr>
                <w:color w:val="FF0000"/>
                <w:sz w:val="24"/>
                <w:szCs w:val="24"/>
                <w:lang w:val="en-US"/>
              </w:rPr>
              <w:t>5、端头形状</w:t>
            </w:r>
          </w:p>
          <w:p>
            <w:pPr>
              <w:tabs>
                <w:tab w:val="left" w:pos="1388"/>
              </w:tabs>
              <w:spacing w:line="316" w:lineRule="auto"/>
              <w:ind w:right="468"/>
              <w:jc w:val="both"/>
              <w:rPr>
                <w:color w:val="FF0000"/>
                <w:sz w:val="24"/>
                <w:szCs w:val="24"/>
                <w:lang w:val="en-US"/>
              </w:rPr>
            </w:pPr>
            <w:r>
              <w:rPr>
                <w:color w:val="FF0000"/>
                <w:sz w:val="24"/>
                <w:szCs w:val="24"/>
                <w:lang w:val="en-US"/>
              </w:rPr>
              <w:t xml:space="preserve">   </w:t>
            </w:r>
            <w:r>
              <w:rPr>
                <w:rFonts w:hint="eastAsia"/>
                <w:color w:val="FF0000"/>
                <w:sz w:val="24"/>
                <w:szCs w:val="24"/>
                <w:lang w:val="en-US"/>
              </w:rPr>
              <w:t>焊接</w:t>
            </w:r>
            <w:r>
              <w:rPr>
                <w:color w:val="FF0000"/>
                <w:sz w:val="24"/>
                <w:szCs w:val="24"/>
                <w:lang w:val="en-US"/>
              </w:rPr>
              <w:t>钢管的两端与钢管轴线切成直角，切口内外毛刺高度均不得大于0.5mm。</w:t>
            </w:r>
          </w:p>
          <w:p>
            <w:pPr>
              <w:tabs>
                <w:tab w:val="left" w:pos="1388"/>
              </w:tabs>
              <w:spacing w:line="316" w:lineRule="auto"/>
              <w:ind w:right="468"/>
              <w:jc w:val="both"/>
              <w:rPr>
                <w:color w:val="FF0000"/>
                <w:sz w:val="24"/>
                <w:szCs w:val="24"/>
                <w:lang w:val="en-US"/>
              </w:rPr>
            </w:pPr>
            <w:r>
              <w:rPr>
                <w:color w:val="FF0000"/>
                <w:sz w:val="24"/>
                <w:szCs w:val="24"/>
                <w:lang w:val="en-US"/>
              </w:rPr>
              <w:t>6、交货重量</w:t>
            </w:r>
          </w:p>
          <w:p>
            <w:pPr>
              <w:tabs>
                <w:tab w:val="left" w:pos="1388"/>
              </w:tabs>
              <w:spacing w:line="316" w:lineRule="auto"/>
              <w:ind w:right="468"/>
              <w:jc w:val="both"/>
              <w:rPr>
                <w:color w:val="FF0000"/>
                <w:sz w:val="24"/>
                <w:szCs w:val="24"/>
                <w:lang w:val="en-US"/>
              </w:rPr>
            </w:pPr>
            <w:r>
              <w:rPr>
                <w:color w:val="FF0000"/>
                <w:sz w:val="24"/>
                <w:szCs w:val="24"/>
                <w:lang w:val="en-US"/>
              </w:rPr>
              <w:t xml:space="preserve">   </w:t>
            </w:r>
            <w:r>
              <w:rPr>
                <w:rFonts w:hint="eastAsia"/>
                <w:color w:val="FF0000"/>
                <w:sz w:val="24"/>
                <w:szCs w:val="24"/>
                <w:lang w:val="en-US"/>
              </w:rPr>
              <w:t>焊接</w:t>
            </w:r>
            <w:r>
              <w:rPr>
                <w:color w:val="FF0000"/>
                <w:sz w:val="24"/>
                <w:szCs w:val="24"/>
                <w:lang w:val="en-US"/>
              </w:rPr>
              <w:t>钢管以实际重量交货。</w:t>
            </w:r>
          </w:p>
          <w:p>
            <w:pPr>
              <w:tabs>
                <w:tab w:val="left" w:pos="1388"/>
              </w:tabs>
              <w:spacing w:line="316" w:lineRule="auto"/>
              <w:ind w:right="468"/>
              <w:jc w:val="both"/>
              <w:rPr>
                <w:color w:val="FF0000"/>
                <w:sz w:val="24"/>
                <w:szCs w:val="24"/>
                <w:lang w:val="en-US"/>
              </w:rPr>
            </w:pPr>
            <w:r>
              <w:rPr>
                <w:color w:val="FF0000"/>
                <w:sz w:val="24"/>
                <w:szCs w:val="24"/>
                <w:lang w:val="en-US"/>
              </w:rPr>
              <w:t>7、标记</w:t>
            </w:r>
          </w:p>
          <w:p>
            <w:pPr>
              <w:tabs>
                <w:tab w:val="left" w:pos="1388"/>
              </w:tabs>
              <w:spacing w:line="316" w:lineRule="auto"/>
              <w:ind w:right="468"/>
              <w:jc w:val="both"/>
              <w:rPr>
                <w:color w:val="FF0000"/>
                <w:sz w:val="24"/>
                <w:szCs w:val="24"/>
                <w:lang w:val="en-US"/>
              </w:rPr>
            </w:pPr>
            <w:r>
              <w:rPr>
                <w:color w:val="FF0000"/>
                <w:sz w:val="24"/>
                <w:szCs w:val="24"/>
                <w:lang w:val="en-US"/>
              </w:rPr>
              <w:t xml:space="preserve"> </w:t>
            </w:r>
            <w:r>
              <w:rPr>
                <w:rFonts w:hint="eastAsia"/>
                <w:color w:val="FF0000"/>
                <w:sz w:val="24"/>
                <w:szCs w:val="24"/>
                <w:lang w:val="en-US"/>
              </w:rPr>
              <w:t>焊接</w:t>
            </w:r>
            <w:r>
              <w:rPr>
                <w:color w:val="FF0000"/>
                <w:sz w:val="24"/>
                <w:szCs w:val="24"/>
                <w:lang w:val="en-US"/>
              </w:rPr>
              <w:t>钢管应注明国标标准编号和尺寸及厂家</w:t>
            </w:r>
            <w:r>
              <w:rPr>
                <w:rFonts w:hint="eastAsia"/>
                <w:color w:val="FF0000"/>
                <w:sz w:val="24"/>
                <w:szCs w:val="24"/>
                <w:lang w:val="en-US"/>
              </w:rPr>
              <w:t>名称</w:t>
            </w:r>
            <w:r>
              <w:rPr>
                <w:color w:val="FF0000"/>
                <w:sz w:val="24"/>
                <w:szCs w:val="24"/>
                <w:lang w:val="en-US"/>
              </w:rPr>
              <w:t>。</w:t>
            </w:r>
          </w:p>
          <w:p>
            <w:pPr>
              <w:tabs>
                <w:tab w:val="left" w:pos="1388"/>
              </w:tabs>
              <w:spacing w:line="316" w:lineRule="auto"/>
              <w:ind w:right="468"/>
              <w:jc w:val="both"/>
              <w:rPr>
                <w:color w:val="FF0000"/>
                <w:sz w:val="24"/>
                <w:szCs w:val="24"/>
                <w:lang w:val="en-US"/>
              </w:rPr>
            </w:pPr>
            <w:r>
              <w:rPr>
                <w:rFonts w:hint="eastAsia"/>
                <w:color w:val="FF0000"/>
                <w:sz w:val="24"/>
                <w:szCs w:val="24"/>
                <w:lang w:val="en-US"/>
              </w:rPr>
              <w:t>二、焊接钢管质量技术要求：</w:t>
            </w:r>
          </w:p>
          <w:p>
            <w:pPr>
              <w:tabs>
                <w:tab w:val="left" w:pos="1388"/>
              </w:tabs>
              <w:spacing w:line="316" w:lineRule="auto"/>
              <w:ind w:right="468"/>
              <w:jc w:val="both"/>
              <w:rPr>
                <w:color w:val="FF0000"/>
                <w:sz w:val="24"/>
                <w:szCs w:val="24"/>
                <w:lang w:val="en-US"/>
              </w:rPr>
            </w:pPr>
            <w:r>
              <w:rPr>
                <w:color w:val="FF0000"/>
                <w:sz w:val="24"/>
                <w:szCs w:val="24"/>
                <w:lang w:val="en-US"/>
              </w:rPr>
              <w:t>1、牌号</w:t>
            </w:r>
          </w:p>
          <w:p>
            <w:pPr>
              <w:tabs>
                <w:tab w:val="left" w:pos="1388"/>
              </w:tabs>
              <w:spacing w:line="316" w:lineRule="auto"/>
              <w:ind w:right="468"/>
              <w:jc w:val="both"/>
              <w:rPr>
                <w:color w:val="FF0000"/>
                <w:sz w:val="24"/>
                <w:szCs w:val="24"/>
                <w:lang w:val="en-US"/>
              </w:rPr>
            </w:pPr>
            <w:r>
              <w:rPr>
                <w:color w:val="FF0000"/>
                <w:sz w:val="24"/>
                <w:szCs w:val="24"/>
                <w:lang w:val="en-US"/>
              </w:rPr>
              <w:t>黑管用钢的</w:t>
            </w:r>
            <w:r>
              <w:rPr>
                <w:rFonts w:hint="eastAsia"/>
                <w:color w:val="FF0000"/>
                <w:sz w:val="24"/>
                <w:szCs w:val="24"/>
                <w:lang w:val="en-US"/>
              </w:rPr>
              <w:t>应符合</w:t>
            </w:r>
            <w:r>
              <w:rPr>
                <w:color w:val="FF0000"/>
                <w:sz w:val="24"/>
                <w:szCs w:val="24"/>
                <w:lang w:val="en-US"/>
              </w:rPr>
              <w:t>GB-3092所规定</w:t>
            </w:r>
            <w:r>
              <w:rPr>
                <w:rFonts w:hint="eastAsia"/>
                <w:color w:val="FF0000"/>
                <w:sz w:val="24"/>
                <w:szCs w:val="24"/>
                <w:lang w:val="en-US"/>
              </w:rPr>
              <w:t>。</w:t>
            </w:r>
          </w:p>
          <w:p>
            <w:pPr>
              <w:tabs>
                <w:tab w:val="left" w:pos="1388"/>
              </w:tabs>
              <w:spacing w:line="316" w:lineRule="auto"/>
              <w:ind w:right="468"/>
              <w:jc w:val="both"/>
              <w:rPr>
                <w:color w:val="FF0000"/>
                <w:sz w:val="24"/>
                <w:szCs w:val="24"/>
                <w:lang w:val="en-US"/>
              </w:rPr>
            </w:pPr>
            <w:r>
              <w:rPr>
                <w:color w:val="FF0000"/>
                <w:sz w:val="24"/>
                <w:szCs w:val="24"/>
                <w:lang w:val="en-US"/>
              </w:rPr>
              <w:t>2、制造方法</w:t>
            </w:r>
          </w:p>
          <w:p>
            <w:pPr>
              <w:tabs>
                <w:tab w:val="left" w:pos="1388"/>
              </w:tabs>
              <w:spacing w:line="316" w:lineRule="auto"/>
              <w:ind w:right="468"/>
              <w:jc w:val="both"/>
              <w:rPr>
                <w:color w:val="FF0000"/>
                <w:sz w:val="24"/>
                <w:szCs w:val="24"/>
                <w:lang w:val="en-US"/>
              </w:rPr>
            </w:pPr>
            <w:r>
              <w:rPr>
                <w:rFonts w:hint="eastAsia"/>
                <w:color w:val="FF0000"/>
                <w:sz w:val="24"/>
                <w:szCs w:val="24"/>
                <w:lang w:val="en-US"/>
              </w:rPr>
              <w:t>黑管的制造方法（炉焊或电焊）由制造厂选择。</w:t>
            </w:r>
          </w:p>
          <w:p>
            <w:pPr>
              <w:tabs>
                <w:tab w:val="left" w:pos="1388"/>
              </w:tabs>
              <w:spacing w:line="316" w:lineRule="auto"/>
              <w:ind w:right="468"/>
              <w:jc w:val="both"/>
              <w:rPr>
                <w:color w:val="FF0000"/>
                <w:sz w:val="24"/>
                <w:szCs w:val="24"/>
                <w:lang w:val="en-US"/>
              </w:rPr>
            </w:pPr>
            <w:r>
              <w:rPr>
                <w:rFonts w:hint="eastAsia"/>
                <w:color w:val="FF0000"/>
                <w:sz w:val="24"/>
                <w:szCs w:val="24"/>
                <w:lang w:val="en-US"/>
              </w:rPr>
              <w:t>3</w:t>
            </w:r>
            <w:r>
              <w:rPr>
                <w:color w:val="FF0000"/>
                <w:sz w:val="24"/>
                <w:szCs w:val="24"/>
                <w:lang w:val="en-US"/>
              </w:rPr>
              <w:t>、冷弯曲试验</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公称口径不大于</w:t>
            </w:r>
            <w:r>
              <w:rPr>
                <w:color w:val="FF0000"/>
                <w:sz w:val="24"/>
                <w:szCs w:val="24"/>
                <w:lang w:val="en-US"/>
              </w:rPr>
              <w:t>50mm的</w:t>
            </w:r>
            <w:r>
              <w:rPr>
                <w:rFonts w:hint="eastAsia"/>
                <w:color w:val="FF0000"/>
                <w:sz w:val="24"/>
                <w:szCs w:val="24"/>
                <w:lang w:val="en-US"/>
              </w:rPr>
              <w:t>焊接</w:t>
            </w:r>
            <w:r>
              <w:rPr>
                <w:color w:val="FF0000"/>
                <w:sz w:val="24"/>
                <w:szCs w:val="24"/>
                <w:lang w:val="en-US"/>
              </w:rPr>
              <w:t>钢管应做冷弯曲试验。弯曲角度为90。，弯曲半径为外径的8倍。试验时不带填充物，试样焊缝处应置于弯曲方向的外侧或上部。试验后，试样上不应有裂缝现象。</w:t>
            </w:r>
          </w:p>
          <w:p>
            <w:pPr>
              <w:tabs>
                <w:tab w:val="left" w:pos="1388"/>
              </w:tabs>
              <w:spacing w:line="316" w:lineRule="auto"/>
              <w:ind w:right="468"/>
              <w:jc w:val="both"/>
              <w:rPr>
                <w:color w:val="FF0000"/>
                <w:sz w:val="24"/>
                <w:szCs w:val="24"/>
                <w:lang w:val="en-US"/>
              </w:rPr>
            </w:pPr>
            <w:r>
              <w:rPr>
                <w:rFonts w:hint="eastAsia"/>
                <w:color w:val="FF0000"/>
                <w:sz w:val="24"/>
                <w:szCs w:val="24"/>
                <w:lang w:val="en-US"/>
              </w:rPr>
              <w:t>4</w:t>
            </w:r>
            <w:r>
              <w:rPr>
                <w:color w:val="FF0000"/>
                <w:sz w:val="24"/>
                <w:szCs w:val="24"/>
                <w:lang w:val="en-US"/>
              </w:rPr>
              <w:t>、水压试验</w:t>
            </w:r>
          </w:p>
          <w:p>
            <w:pPr>
              <w:tabs>
                <w:tab w:val="left" w:pos="1388"/>
              </w:tabs>
              <w:spacing w:line="316" w:lineRule="auto"/>
              <w:ind w:right="468"/>
              <w:jc w:val="both"/>
              <w:rPr>
                <w:color w:val="FF0000"/>
                <w:sz w:val="24"/>
                <w:szCs w:val="24"/>
                <w:lang w:val="en-US"/>
              </w:rPr>
            </w:pPr>
            <w:r>
              <w:rPr>
                <w:rFonts w:hint="eastAsia"/>
                <w:color w:val="FF0000"/>
                <w:sz w:val="24"/>
                <w:szCs w:val="24"/>
                <w:lang w:val="en-US"/>
              </w:rPr>
              <w:t>水压试验应在黑管进行，也可用涡流探伤代替水压试验。试验压力及涡流探伤对比试样尺寸应符合国标</w:t>
            </w:r>
            <w:r>
              <w:rPr>
                <w:color w:val="FF0000"/>
                <w:sz w:val="24"/>
                <w:szCs w:val="24"/>
                <w:lang w:val="en-US"/>
              </w:rPr>
              <w:t>GB3092的规定。</w:t>
            </w:r>
          </w:p>
          <w:p>
            <w:pPr>
              <w:tabs>
                <w:tab w:val="left" w:pos="1388"/>
              </w:tabs>
              <w:spacing w:line="316" w:lineRule="auto"/>
              <w:ind w:right="468"/>
              <w:jc w:val="both"/>
              <w:rPr>
                <w:color w:val="FF0000"/>
                <w:sz w:val="24"/>
                <w:szCs w:val="24"/>
                <w:lang w:val="en-US"/>
              </w:rPr>
            </w:pPr>
            <w:r>
              <w:rPr>
                <w:rFonts w:hint="eastAsia"/>
                <w:color w:val="FF0000"/>
                <w:sz w:val="24"/>
                <w:szCs w:val="24"/>
                <w:lang w:val="en-US"/>
              </w:rPr>
              <w:t>5</w:t>
            </w:r>
            <w:r>
              <w:rPr>
                <w:color w:val="FF0000"/>
                <w:sz w:val="24"/>
                <w:szCs w:val="24"/>
                <w:lang w:val="en-US"/>
              </w:rPr>
              <w:t>、表面质量</w:t>
            </w:r>
          </w:p>
          <w:p>
            <w:pPr>
              <w:tabs>
                <w:tab w:val="left" w:pos="1388"/>
              </w:tabs>
              <w:spacing w:line="316" w:lineRule="auto"/>
              <w:ind w:right="468"/>
              <w:jc w:val="both"/>
              <w:rPr>
                <w:color w:val="FF0000"/>
                <w:sz w:val="24"/>
                <w:szCs w:val="24"/>
                <w:lang w:val="en-US"/>
              </w:rPr>
            </w:pPr>
            <w:r>
              <w:rPr>
                <w:rFonts w:hint="eastAsia"/>
                <w:color w:val="FF0000"/>
                <w:sz w:val="24"/>
                <w:szCs w:val="24"/>
                <w:lang w:val="en-US"/>
              </w:rPr>
              <w:t>焊接钢管的内外表面应有完整层。</w:t>
            </w:r>
          </w:p>
          <w:p>
            <w:pPr>
              <w:tabs>
                <w:tab w:val="left" w:pos="1388"/>
              </w:tabs>
              <w:spacing w:line="316" w:lineRule="auto"/>
              <w:ind w:right="468"/>
              <w:jc w:val="both"/>
              <w:rPr>
                <w:color w:val="FF0000"/>
                <w:sz w:val="24"/>
                <w:szCs w:val="24"/>
                <w:lang w:val="en-US"/>
              </w:rPr>
            </w:pPr>
            <w:r>
              <w:rPr>
                <w:rFonts w:hint="eastAsia"/>
                <w:color w:val="FF0000"/>
                <w:sz w:val="24"/>
                <w:szCs w:val="24"/>
                <w:lang w:val="en-US"/>
              </w:rPr>
              <w:t>三、试验方法：</w:t>
            </w:r>
          </w:p>
          <w:p>
            <w:pPr>
              <w:tabs>
                <w:tab w:val="left" w:pos="1388"/>
              </w:tabs>
              <w:spacing w:line="316" w:lineRule="auto"/>
              <w:ind w:right="468"/>
              <w:jc w:val="both"/>
              <w:rPr>
                <w:color w:val="FF0000"/>
                <w:sz w:val="24"/>
                <w:szCs w:val="24"/>
                <w:lang w:val="en-US"/>
              </w:rPr>
            </w:pPr>
            <w:r>
              <w:rPr>
                <w:color w:val="FF0000"/>
                <w:sz w:val="24"/>
                <w:szCs w:val="24"/>
                <w:lang w:val="en-US"/>
              </w:rPr>
              <w:t>1、表面检查</w:t>
            </w:r>
          </w:p>
          <w:p>
            <w:pPr>
              <w:tabs>
                <w:tab w:val="left" w:pos="1388"/>
              </w:tabs>
              <w:spacing w:line="316" w:lineRule="auto"/>
              <w:ind w:right="468"/>
              <w:jc w:val="both"/>
              <w:rPr>
                <w:color w:val="FF0000"/>
                <w:sz w:val="24"/>
                <w:szCs w:val="24"/>
                <w:lang w:val="en-US"/>
              </w:rPr>
            </w:pPr>
            <w:r>
              <w:rPr>
                <w:rFonts w:hint="eastAsia"/>
                <w:color w:val="FF0000"/>
                <w:sz w:val="24"/>
                <w:szCs w:val="24"/>
                <w:lang w:val="en-US"/>
              </w:rPr>
              <w:t>镀锌钢管的内外表面应用肉眼逐根进行检查。</w:t>
            </w:r>
          </w:p>
          <w:p>
            <w:pPr>
              <w:tabs>
                <w:tab w:val="left" w:pos="1388"/>
              </w:tabs>
              <w:spacing w:line="316" w:lineRule="auto"/>
              <w:ind w:right="468"/>
              <w:jc w:val="both"/>
              <w:rPr>
                <w:color w:val="FF0000"/>
                <w:sz w:val="24"/>
                <w:szCs w:val="24"/>
                <w:lang w:val="en-US"/>
              </w:rPr>
            </w:pPr>
            <w:r>
              <w:rPr>
                <w:color w:val="FF0000"/>
                <w:sz w:val="24"/>
                <w:szCs w:val="24"/>
                <w:lang w:val="en-US"/>
              </w:rPr>
              <w:t>2、尺寸检查</w:t>
            </w:r>
          </w:p>
          <w:p>
            <w:pPr>
              <w:tabs>
                <w:tab w:val="left" w:pos="1388"/>
              </w:tabs>
              <w:spacing w:line="316" w:lineRule="auto"/>
              <w:ind w:right="468"/>
              <w:jc w:val="both"/>
              <w:rPr>
                <w:color w:val="FF0000"/>
                <w:sz w:val="24"/>
                <w:szCs w:val="24"/>
                <w:lang w:val="en-US"/>
              </w:rPr>
            </w:pPr>
            <w:r>
              <w:rPr>
                <w:rFonts w:hint="eastAsia"/>
                <w:color w:val="FF0000"/>
                <w:sz w:val="24"/>
                <w:szCs w:val="24"/>
                <w:lang w:val="en-US"/>
              </w:rPr>
              <w:t>焊接钢管应用足够精确度的量具逐根进行测量。</w:t>
            </w:r>
          </w:p>
          <w:p>
            <w:pPr>
              <w:tabs>
                <w:tab w:val="left" w:pos="1388"/>
              </w:tabs>
              <w:spacing w:line="316" w:lineRule="auto"/>
              <w:ind w:right="468"/>
              <w:jc w:val="both"/>
              <w:rPr>
                <w:color w:val="FF0000"/>
                <w:sz w:val="24"/>
                <w:szCs w:val="24"/>
                <w:lang w:val="en-US"/>
              </w:rPr>
            </w:pPr>
            <w:r>
              <w:rPr>
                <w:rFonts w:hint="eastAsia"/>
                <w:color w:val="FF0000"/>
                <w:sz w:val="24"/>
                <w:szCs w:val="24"/>
                <w:lang w:val="en-US"/>
              </w:rPr>
              <w:t>四、检验规则：</w:t>
            </w:r>
          </w:p>
          <w:p>
            <w:pPr>
              <w:tabs>
                <w:tab w:val="left" w:pos="1388"/>
              </w:tabs>
              <w:spacing w:line="316" w:lineRule="auto"/>
              <w:ind w:right="468"/>
              <w:jc w:val="both"/>
              <w:rPr>
                <w:color w:val="FF0000"/>
                <w:sz w:val="24"/>
                <w:szCs w:val="24"/>
                <w:lang w:val="en-US"/>
              </w:rPr>
            </w:pPr>
            <w:r>
              <w:rPr>
                <w:color w:val="FF0000"/>
                <w:sz w:val="24"/>
                <w:szCs w:val="24"/>
                <w:lang w:val="en-US"/>
              </w:rPr>
              <w:t>1、</w:t>
            </w:r>
            <w:r>
              <w:rPr>
                <w:rFonts w:hint="eastAsia"/>
                <w:color w:val="FF0000"/>
                <w:sz w:val="24"/>
                <w:szCs w:val="24"/>
                <w:lang w:val="en-US"/>
              </w:rPr>
              <w:t>焊接</w:t>
            </w:r>
            <w:r>
              <w:rPr>
                <w:color w:val="FF0000"/>
                <w:sz w:val="24"/>
                <w:szCs w:val="24"/>
                <w:lang w:val="en-US"/>
              </w:rPr>
              <w:t>钢管按批进行检查和验收，每批由同一牌号、同一规格的钢管组成</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w:t>
            </w:r>
            <w:r>
              <w:rPr>
                <w:color w:val="FF0000"/>
                <w:sz w:val="24"/>
                <w:szCs w:val="24"/>
                <w:lang w:val="en-US"/>
              </w:rPr>
              <w:t>25mm     每批1000根</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w:t>
            </w:r>
            <w:r>
              <w:rPr>
                <w:color w:val="FF0000"/>
                <w:sz w:val="24"/>
                <w:szCs w:val="24"/>
                <w:lang w:val="en-US"/>
              </w:rPr>
              <w:t>&gt;m25~50m   每批750根</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公称口径</w:t>
            </w:r>
            <w:r>
              <w:rPr>
                <w:color w:val="FF0000"/>
                <w:sz w:val="24"/>
                <w:szCs w:val="24"/>
                <w:lang w:val="en-US"/>
              </w:rPr>
              <w:t>&gt;50mm      每批500根</w:t>
            </w:r>
          </w:p>
          <w:p>
            <w:pPr>
              <w:tabs>
                <w:tab w:val="left" w:pos="1388"/>
              </w:tabs>
              <w:spacing w:line="316" w:lineRule="auto"/>
              <w:ind w:right="468"/>
              <w:jc w:val="both"/>
              <w:rPr>
                <w:color w:val="FF0000"/>
                <w:sz w:val="24"/>
                <w:szCs w:val="24"/>
                <w:lang w:val="en-US"/>
              </w:rPr>
            </w:pPr>
            <w:r>
              <w:rPr>
                <w:color w:val="FF0000"/>
                <w:sz w:val="24"/>
                <w:szCs w:val="24"/>
                <w:lang w:val="en-US"/>
              </w:rPr>
              <w:t>2、复验和判定</w:t>
            </w:r>
          </w:p>
          <w:p>
            <w:pPr>
              <w:tabs>
                <w:tab w:val="left" w:pos="1388"/>
              </w:tabs>
              <w:spacing w:line="316" w:lineRule="auto"/>
              <w:ind w:right="468"/>
              <w:jc w:val="both"/>
              <w:rPr>
                <w:color w:val="FF0000"/>
                <w:sz w:val="24"/>
                <w:szCs w:val="24"/>
                <w:lang w:val="en-US"/>
              </w:rPr>
            </w:pPr>
            <w:r>
              <w:rPr>
                <w:rFonts w:hint="eastAsia"/>
                <w:color w:val="FF0000"/>
                <w:sz w:val="24"/>
                <w:szCs w:val="24"/>
                <w:lang w:val="en-US"/>
              </w:rPr>
              <w:t>焊接钢管的复验和判定规则应符合</w:t>
            </w:r>
            <w:r>
              <w:rPr>
                <w:color w:val="FF0000"/>
                <w:sz w:val="24"/>
                <w:szCs w:val="24"/>
                <w:lang w:val="en-US"/>
              </w:rPr>
              <w:t>GB2102的规定。</w:t>
            </w:r>
          </w:p>
          <w:p>
            <w:pPr>
              <w:tabs>
                <w:tab w:val="left" w:pos="1388"/>
              </w:tabs>
              <w:spacing w:line="316" w:lineRule="auto"/>
              <w:ind w:right="468"/>
              <w:jc w:val="both"/>
              <w:rPr>
                <w:color w:val="FF0000"/>
                <w:sz w:val="24"/>
                <w:szCs w:val="24"/>
                <w:lang w:val="en-US"/>
              </w:rPr>
            </w:pPr>
            <w:r>
              <w:rPr>
                <w:rFonts w:hint="eastAsia"/>
                <w:color w:val="FF0000"/>
                <w:sz w:val="24"/>
                <w:szCs w:val="24"/>
                <w:lang w:val="en-US"/>
              </w:rPr>
              <w:t>五、包装、标注及质量证明书</w:t>
            </w:r>
          </w:p>
          <w:p>
            <w:pPr>
              <w:tabs>
                <w:tab w:val="left" w:pos="1388"/>
              </w:tabs>
              <w:spacing w:line="316" w:lineRule="auto"/>
              <w:ind w:right="468"/>
              <w:jc w:val="both"/>
              <w:rPr>
                <w:color w:val="FF0000"/>
                <w:sz w:val="24"/>
                <w:szCs w:val="24"/>
                <w:lang w:val="en-US"/>
              </w:rPr>
            </w:pPr>
            <w:r>
              <w:rPr>
                <w:rFonts w:hint="eastAsia"/>
                <w:color w:val="FF0000"/>
                <w:sz w:val="24"/>
                <w:szCs w:val="24"/>
                <w:lang w:val="en-US"/>
              </w:rPr>
              <w:t>焊接钢管的包装、标志及质量证明书应符合</w:t>
            </w:r>
            <w:r>
              <w:rPr>
                <w:color w:val="FF0000"/>
                <w:sz w:val="24"/>
                <w:szCs w:val="24"/>
                <w:lang w:val="en-US"/>
              </w:rPr>
              <w:t>GB2102的规定。</w:t>
            </w:r>
          </w:p>
          <w:p>
            <w:pPr>
              <w:tabs>
                <w:tab w:val="left" w:pos="1388"/>
              </w:tabs>
              <w:spacing w:line="316" w:lineRule="auto"/>
              <w:ind w:right="468"/>
              <w:jc w:val="both"/>
              <w:rPr>
                <w:rFonts w:hint="eastAsia"/>
                <w:color w:val="FF0000"/>
                <w:sz w:val="24"/>
                <w:szCs w:val="24"/>
                <w:lang w:val="en-US"/>
              </w:rPr>
            </w:pPr>
            <w:r>
              <w:rPr>
                <w:rFonts w:hint="eastAsia"/>
                <w:color w:val="FF0000"/>
                <w:sz w:val="24"/>
                <w:szCs w:val="24"/>
                <w:lang w:val="en-US"/>
              </w:rPr>
              <w:t>六、镀锌角钢质量要求：规格：40mmX40mmX4mm,允许偏差：±0.2mm，热镀锌。</w:t>
            </w:r>
          </w:p>
          <w:p>
            <w:pPr>
              <w:tabs>
                <w:tab w:val="left" w:pos="1388"/>
              </w:tabs>
              <w:spacing w:line="316" w:lineRule="auto"/>
              <w:ind w:right="468"/>
              <w:jc w:val="both"/>
              <w:rPr>
                <w:color w:val="FF0000"/>
                <w:sz w:val="24"/>
                <w:szCs w:val="24"/>
                <w:lang w:val="en-US"/>
              </w:rPr>
            </w:pPr>
            <w:r>
              <w:rPr>
                <w:rFonts w:hint="eastAsia"/>
                <w:color w:val="FF0000"/>
                <w:sz w:val="24"/>
                <w:szCs w:val="24"/>
                <w:lang w:val="en-US"/>
              </w:rPr>
              <w:t>七、</w:t>
            </w:r>
            <w:r>
              <w:rPr>
                <w:color w:val="FF0000"/>
                <w:sz w:val="24"/>
                <w:szCs w:val="24"/>
                <w:lang w:val="en-US"/>
              </w:rPr>
              <w:t>所有</w:t>
            </w:r>
            <w:r>
              <w:rPr>
                <w:rFonts w:hint="eastAsia"/>
                <w:color w:val="FF0000"/>
                <w:sz w:val="24"/>
                <w:szCs w:val="24"/>
                <w:lang w:val="en-US"/>
              </w:rPr>
              <w:t>材料</w:t>
            </w:r>
            <w:r>
              <w:rPr>
                <w:color w:val="FF0000"/>
                <w:sz w:val="24"/>
                <w:szCs w:val="24"/>
                <w:lang w:val="en-US"/>
              </w:rPr>
              <w:t>进场必须提供相应产品合格证及材质出厂检验报告。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2150" w:type="dxa"/>
            <w:vAlign w:val="center"/>
          </w:tcPr>
          <w:p>
            <w:pPr>
              <w:spacing w:line="360" w:lineRule="auto"/>
              <w:jc w:val="center"/>
              <w:rPr>
                <w:sz w:val="24"/>
                <w:szCs w:val="24"/>
                <w:lang w:val="en-US"/>
              </w:rPr>
            </w:pPr>
            <w:r>
              <w:rPr>
                <w:rFonts w:hint="eastAsia"/>
                <w:sz w:val="24"/>
                <w:szCs w:val="24"/>
                <w:lang w:val="en-US"/>
              </w:rPr>
              <w:t>投标截止时间</w:t>
            </w:r>
          </w:p>
        </w:tc>
        <w:tc>
          <w:tcPr>
            <w:tcW w:w="5983" w:type="dxa"/>
            <w:vAlign w:val="center"/>
          </w:tcPr>
          <w:p>
            <w:pPr>
              <w:spacing w:line="360" w:lineRule="auto"/>
              <w:jc w:val="both"/>
              <w:rPr>
                <w:sz w:val="24"/>
                <w:szCs w:val="24"/>
                <w:lang w:val="en-US"/>
              </w:rPr>
            </w:pPr>
            <w:r>
              <w:rPr>
                <w:rFonts w:hint="eastAsia"/>
                <w:sz w:val="24"/>
                <w:szCs w:val="24"/>
                <w:lang w:val="en-US"/>
              </w:rPr>
              <w:t>2022年 11 月 1</w:t>
            </w:r>
            <w:r>
              <w:rPr>
                <w:rFonts w:hint="eastAsia"/>
                <w:sz w:val="24"/>
                <w:szCs w:val="24"/>
                <w:lang w:val="en-US" w:eastAsia="zh-CN"/>
              </w:rPr>
              <w:t>8</w:t>
            </w:r>
            <w:r>
              <w:rPr>
                <w:rFonts w:hint="eastAsia"/>
                <w:sz w:val="24"/>
                <w:szCs w:val="24"/>
                <w:lang w:val="en-US"/>
              </w:rPr>
              <w:t xml:space="preserve"> 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2150" w:type="dxa"/>
            <w:vAlign w:val="center"/>
          </w:tcPr>
          <w:p>
            <w:pPr>
              <w:spacing w:line="360" w:lineRule="auto"/>
              <w:jc w:val="center"/>
              <w:rPr>
                <w:sz w:val="24"/>
                <w:szCs w:val="24"/>
                <w:lang w:val="en-US"/>
              </w:rPr>
            </w:pPr>
            <w:r>
              <w:rPr>
                <w:rFonts w:hint="eastAsia"/>
                <w:sz w:val="24"/>
                <w:szCs w:val="24"/>
                <w:lang w:val="en-US"/>
              </w:rPr>
              <w:t>开标时间</w:t>
            </w:r>
          </w:p>
        </w:tc>
        <w:tc>
          <w:tcPr>
            <w:tcW w:w="5983"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2150" w:type="dxa"/>
            <w:vAlign w:val="center"/>
          </w:tcPr>
          <w:p>
            <w:pPr>
              <w:spacing w:line="360" w:lineRule="auto"/>
              <w:jc w:val="center"/>
              <w:rPr>
                <w:sz w:val="24"/>
                <w:szCs w:val="24"/>
                <w:lang w:val="en-US"/>
              </w:rPr>
            </w:pPr>
            <w:r>
              <w:rPr>
                <w:rFonts w:hint="eastAsia"/>
                <w:sz w:val="24"/>
                <w:szCs w:val="24"/>
                <w:lang w:val="en-US"/>
              </w:rPr>
              <w:t>开标地点</w:t>
            </w:r>
          </w:p>
        </w:tc>
        <w:tc>
          <w:tcPr>
            <w:tcW w:w="5983"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2150" w:type="dxa"/>
            <w:vAlign w:val="center"/>
          </w:tcPr>
          <w:p>
            <w:pPr>
              <w:spacing w:line="360" w:lineRule="auto"/>
              <w:jc w:val="center"/>
              <w:rPr>
                <w:sz w:val="24"/>
                <w:szCs w:val="24"/>
                <w:lang w:val="en-US"/>
              </w:rPr>
            </w:pPr>
            <w:r>
              <w:rPr>
                <w:rFonts w:hint="eastAsia"/>
                <w:sz w:val="24"/>
                <w:szCs w:val="24"/>
                <w:lang w:val="en-US"/>
              </w:rPr>
              <w:t>评标委组成</w:t>
            </w:r>
          </w:p>
        </w:tc>
        <w:tc>
          <w:tcPr>
            <w:tcW w:w="5983"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11</w:t>
            </w:r>
          </w:p>
        </w:tc>
        <w:tc>
          <w:tcPr>
            <w:tcW w:w="2150" w:type="dxa"/>
            <w:vAlign w:val="center"/>
          </w:tcPr>
          <w:p>
            <w:pPr>
              <w:spacing w:line="360" w:lineRule="auto"/>
              <w:jc w:val="center"/>
              <w:rPr>
                <w:sz w:val="24"/>
                <w:szCs w:val="24"/>
                <w:lang w:val="en-US"/>
              </w:rPr>
            </w:pPr>
            <w:r>
              <w:rPr>
                <w:rFonts w:hint="eastAsia"/>
                <w:sz w:val="24"/>
                <w:szCs w:val="24"/>
                <w:lang w:val="en-US"/>
              </w:rPr>
              <w:t>付款方式</w:t>
            </w:r>
          </w:p>
        </w:tc>
        <w:tc>
          <w:tcPr>
            <w:tcW w:w="5983" w:type="dxa"/>
          </w:tcPr>
          <w:tbl>
            <w:tblPr>
              <w:tblStyle w:val="12"/>
              <w:tblW w:w="5760" w:type="dxa"/>
              <w:tblInd w:w="0" w:type="dxa"/>
              <w:tblLayout w:type="fixed"/>
              <w:tblCellMar>
                <w:top w:w="0" w:type="dxa"/>
                <w:left w:w="108" w:type="dxa"/>
                <w:bottom w:w="0" w:type="dxa"/>
                <w:right w:w="108" w:type="dxa"/>
              </w:tblCellMar>
            </w:tblPr>
            <w:tblGrid>
              <w:gridCol w:w="1350"/>
              <w:gridCol w:w="1350"/>
              <w:gridCol w:w="1707"/>
              <w:gridCol w:w="1353"/>
            </w:tblGrid>
            <w:tr>
              <w:trPr>
                <w:trHeight w:val="355" w:hRule="atLeast"/>
              </w:trPr>
              <w:tc>
                <w:tcPr>
                  <w:tcW w:w="5760" w:type="dxa"/>
                  <w:gridSpan w:val="4"/>
                  <w:tcBorders>
                    <w:top w:val="nil"/>
                    <w:left w:val="nil"/>
                    <w:bottom w:val="nil"/>
                    <w:right w:val="nil"/>
                  </w:tcBorders>
                  <w:shd w:val="clear" w:color="auto" w:fill="auto"/>
                  <w:noWrap/>
                  <w:vAlign w:val="center"/>
                </w:tcPr>
                <w:p>
                  <w:pPr>
                    <w:widowControl/>
                    <w:jc w:val="center"/>
                    <w:textAlignment w:val="center"/>
                    <w:rPr>
                      <w:color w:val="000000"/>
                    </w:rPr>
                  </w:pPr>
                  <w:r>
                    <w:rPr>
                      <w:rFonts w:hint="eastAsia"/>
                      <w:color w:val="000000"/>
                      <w:lang w:val="en-US" w:bidi="ar"/>
                    </w:rPr>
                    <w:t>付款方式（一年期银行承兑）</w:t>
                  </w:r>
                </w:p>
              </w:tc>
            </w:tr>
            <w:tr>
              <w:tblPrEx>
                <w:tblCellMar>
                  <w:top w:w="0" w:type="dxa"/>
                  <w:left w:w="108" w:type="dxa"/>
                  <w:bottom w:w="0" w:type="dxa"/>
                  <w:right w:w="108" w:type="dxa"/>
                </w:tblCellMar>
              </w:tblPrEx>
              <w:trPr>
                <w:trHeight w:val="306"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年度（总比例）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付款节点</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付款比例基数</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付款比例</w:t>
                  </w:r>
                </w:p>
              </w:tc>
            </w:tr>
            <w:tr>
              <w:trPr>
                <w:trHeight w:val="306"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供货年度（50%）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端午节之前发生货款</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rPr>
                <w:trHeight w:val="572"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端午节至中秋节之间发生货款</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rPr>
                <w:trHeight w:val="582"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中秋节至春节之间发生货款</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rPr>
                <w:trHeight w:val="957"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供货完毕</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供货完毕上一个付款节点至供货完毕之间发生货款</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rPr>
                <w:trHeight w:val="306"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供货项目竣工后第一年（30%）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总货款</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rPr>
                <w:trHeight w:val="306"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rPr>
                <w:trHeight w:val="306"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rPr>
                <w:trHeight w:val="306"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供货项目竣工后第二年（20%）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总货款</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w:t>
                  </w:r>
                </w:p>
              </w:tc>
            </w:tr>
            <w:tr>
              <w:trPr>
                <w:trHeight w:val="306"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w:t>
                  </w:r>
                </w:p>
              </w:tc>
            </w:tr>
            <w:tr>
              <w:trPr>
                <w:trHeight w:val="306"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rPr>
                <w:trHeight w:val="316"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合计(100%)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pPr>
              <w:spacing w:line="360" w:lineRule="auto"/>
              <w:jc w:val="both"/>
              <w:rPr>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5983" w:type="dxa"/>
            <w:vAlign w:val="center"/>
          </w:tcPr>
          <w:p>
            <w:pPr>
              <w:spacing w:line="360" w:lineRule="auto"/>
              <w:jc w:val="both"/>
              <w:rPr>
                <w:rFonts w:asciiTheme="minorHAnsi" w:hAnsiTheme="minorHAnsi"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第二章__投标人须知"/>
      <w:bookmarkEnd w:id="0"/>
      <w:bookmarkStart w:id="1" w:name="一、投标函及投标函附录"/>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spacing w:line="600" w:lineRule="exact"/>
        <w:ind w:firstLine="560" w:firstLineChars="200"/>
        <w:rPr>
          <w:sz w:val="28"/>
          <w:szCs w:val="28"/>
        </w:rPr>
      </w:pPr>
      <w:r>
        <w:rPr>
          <w:sz w:val="28"/>
          <w:szCs w:val="28"/>
        </w:rPr>
        <w:t>我方已仔细研究了</w:t>
      </w:r>
      <w:r>
        <w:rPr>
          <w:rFonts w:hint="eastAsia"/>
          <w:sz w:val="28"/>
          <w:szCs w:val="28"/>
          <w:lang w:val="en-US"/>
        </w:rPr>
        <w:t>赤峰市红山区妇幼保健院迁建</w:t>
      </w:r>
      <w:r>
        <w:rPr>
          <w:rFonts w:hint="eastAsia"/>
          <w:sz w:val="28"/>
          <w:szCs w:val="28"/>
        </w:rPr>
        <w:t>项</w:t>
      </w:r>
      <w:r>
        <w:rPr>
          <w:rFonts w:hint="eastAsia"/>
          <w:sz w:val="28"/>
          <w:szCs w:val="28"/>
          <w:lang w:val="en-US"/>
        </w:rPr>
        <w:t>目焊接钢管、角钢采购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每一次焊接钢管、角钢</w:t>
      </w:r>
      <w:r>
        <w:rPr>
          <w:rFonts w:hint="eastAsia"/>
          <w:sz w:val="28"/>
          <w:szCs w:val="28"/>
        </w:rPr>
        <w:t>供应，确保产品数量及质量。</w:t>
      </w:r>
    </w:p>
    <w:p>
      <w:pPr>
        <w:pStyle w:val="9"/>
        <w:spacing w:before="66" w:line="560" w:lineRule="exact"/>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spacing w:before="66" w:line="560" w:lineRule="exact"/>
        <w:ind w:firstLine="1120" w:firstLineChars="400"/>
        <w:rPr>
          <w:sz w:val="28"/>
          <w:szCs w:val="28"/>
          <w:lang w:val="en-US"/>
        </w:rPr>
      </w:pPr>
      <w:r>
        <w:rPr>
          <w:rFonts w:hint="eastAsia"/>
          <w:sz w:val="28"/>
          <w:szCs w:val="28"/>
          <w:lang w:val="en-US"/>
        </w:rPr>
        <w:t>电  话 ：</w:t>
      </w:r>
    </w:p>
    <w:p>
      <w:pPr>
        <w:pStyle w:val="9"/>
        <w:spacing w:before="66" w:line="360" w:lineRule="auto"/>
        <w:rPr>
          <w:b/>
          <w:bCs/>
          <w:lang w:val="en-US"/>
        </w:rPr>
      </w:pPr>
    </w:p>
    <w:p>
      <w:pPr>
        <w:pStyle w:val="9"/>
        <w:spacing w:before="66" w:line="360" w:lineRule="auto"/>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r>
        <w:rPr>
          <w:rFonts w:hint="eastAsia"/>
          <w:b/>
          <w:bCs/>
          <w:lang w:val="en-US"/>
        </w:rPr>
        <w:t>采暖管件报价单</w:t>
      </w:r>
    </w:p>
    <w:tbl>
      <w:tblPr>
        <w:tblStyle w:val="12"/>
        <w:tblpPr w:leftFromText="180" w:rightFromText="180" w:vertAnchor="text" w:horzAnchor="page" w:tblpX="688" w:tblpY="195"/>
        <w:tblOverlap w:val="never"/>
        <w:tblW w:w="10783" w:type="dxa"/>
        <w:tblInd w:w="0" w:type="dxa"/>
        <w:tblLayout w:type="fixed"/>
        <w:tblCellMar>
          <w:top w:w="0" w:type="dxa"/>
          <w:left w:w="108" w:type="dxa"/>
          <w:bottom w:w="0" w:type="dxa"/>
          <w:right w:w="108" w:type="dxa"/>
        </w:tblCellMar>
      </w:tblPr>
      <w:tblGrid>
        <w:gridCol w:w="1184"/>
        <w:gridCol w:w="1423"/>
        <w:gridCol w:w="1110"/>
        <w:gridCol w:w="1555"/>
        <w:gridCol w:w="1348"/>
        <w:gridCol w:w="1704"/>
        <w:gridCol w:w="2459"/>
      </w:tblGrid>
      <w:tr>
        <w:tblPrEx>
          <w:tblCellMar>
            <w:top w:w="0" w:type="dxa"/>
            <w:left w:w="108" w:type="dxa"/>
            <w:bottom w:w="0" w:type="dxa"/>
            <w:right w:w="108" w:type="dxa"/>
          </w:tblCellMar>
        </w:tblPrEx>
        <w:trPr>
          <w:trHeight w:val="90" w:hRule="atLeast"/>
        </w:trPr>
        <w:tc>
          <w:tcPr>
            <w:tcW w:w="10783" w:type="dxa"/>
            <w:gridSpan w:val="7"/>
            <w:tcBorders>
              <w:top w:val="nil"/>
              <w:left w:val="nil"/>
              <w:bottom w:val="nil"/>
              <w:right w:val="nil"/>
            </w:tcBorders>
            <w:shd w:val="clear" w:color="auto" w:fill="auto"/>
            <w:noWrap/>
            <w:vAlign w:val="center"/>
          </w:tcPr>
          <w:p>
            <w:pPr>
              <w:widowControl/>
              <w:textAlignment w:val="center"/>
              <w:rPr>
                <w:rFonts w:asciiTheme="minorEastAsia" w:hAnsiTheme="minorEastAsia" w:eastAsiaTheme="minorEastAsia" w:cstheme="minorEastAsia"/>
                <w:b/>
                <w:sz w:val="24"/>
                <w:szCs w:val="24"/>
                <w:u w:val="single"/>
                <w:lang w:val="en-US"/>
              </w:rPr>
            </w:pPr>
          </w:p>
          <w:p>
            <w:pPr>
              <w:widowControl/>
              <w:ind w:firstLine="201" w:firstLineChars="100"/>
              <w:textAlignment w:val="center"/>
              <w:rPr>
                <w:b/>
                <w:bCs/>
                <w:color w:val="000000"/>
                <w:sz w:val="20"/>
                <w:szCs w:val="20"/>
              </w:rPr>
            </w:pPr>
          </w:p>
        </w:tc>
      </w:tr>
      <w:tr>
        <w:tblPrEx>
          <w:tblCellMar>
            <w:top w:w="0" w:type="dxa"/>
            <w:left w:w="108" w:type="dxa"/>
            <w:bottom w:w="0" w:type="dxa"/>
            <w:right w:w="108" w:type="dxa"/>
          </w:tblCellMar>
        </w:tblPrEx>
        <w:trPr>
          <w:trHeight w:val="594"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货物名称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规格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单位</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单价（元）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金额（元）</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备注</w:t>
            </w: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bidi="ar"/>
              </w:rPr>
              <w:t>DN20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bidi="ar"/>
              </w:rPr>
              <w:t>2562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1822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750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498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666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642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498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276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102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镀锌角钢</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4*4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m</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1716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bl>
    <w:p>
      <w:pPr>
        <w:rPr>
          <w:b/>
          <w:bCs/>
          <w:sz w:val="24"/>
          <w:szCs w:val="24"/>
          <w:lang w:val="en-US"/>
        </w:rPr>
      </w:pPr>
    </w:p>
    <w:p>
      <w:pPr>
        <w:rPr>
          <w:b/>
          <w:bCs/>
          <w:sz w:val="24"/>
          <w:szCs w:val="24"/>
          <w:lang w:val="en-US"/>
        </w:rPr>
      </w:pPr>
    </w:p>
    <w:p>
      <w:pPr>
        <w:pStyle w:val="9"/>
        <w:spacing w:before="66" w:line="360" w:lineRule="auto"/>
        <w:rPr>
          <w:sz w:val="28"/>
          <w:szCs w:val="28"/>
        </w:rPr>
      </w:pPr>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r>
        <w:rPr>
          <w:sz w:val="28"/>
          <w:szCs w:val="28"/>
        </w:rPr>
        <w:t>法人代表或委托代理人</w:t>
      </w:r>
      <w:r>
        <w:rPr>
          <w:rFonts w:hint="eastAsia"/>
          <w:sz w:val="28"/>
          <w:szCs w:val="28"/>
        </w:rPr>
        <w:t>：</w:t>
      </w:r>
      <w:r>
        <w:rPr>
          <w:sz w:val="28"/>
          <w:szCs w:val="28"/>
        </w:rPr>
        <w:t>（签字或盖章）</w:t>
      </w:r>
      <w:r>
        <w:rPr>
          <w:rFonts w:hint="eastAsia"/>
          <w:sz w:val="28"/>
          <w:szCs w:val="28"/>
          <w:u w:val="single"/>
          <w:lang w:val="en-US"/>
        </w:rPr>
        <w:t xml:space="preserve">             </w:t>
      </w:r>
    </w:p>
    <w:p>
      <w:pPr>
        <w:pStyle w:val="9"/>
        <w:spacing w:before="203" w:line="360" w:lineRule="auto"/>
        <w:ind w:right="2447"/>
        <w:rPr>
          <w:b/>
          <w:bCs/>
          <w:lang w:val="en-US"/>
        </w:rPr>
        <w:sectPr>
          <w:headerReference r:id="rId4" w:type="default"/>
          <w:footerReference r:id="rId5" w:type="default"/>
          <w:pgSz w:w="11910" w:h="16850"/>
          <w:pgMar w:top="1440" w:right="1800" w:bottom="1440" w:left="1800" w:header="1051" w:footer="1057" w:gutter="0"/>
          <w:cols w:space="720" w:num="1"/>
        </w:sect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ind w:right="337" w:firstLine="2711" w:firstLineChars="900"/>
        <w:jc w:val="both"/>
        <w:rPr>
          <w:b/>
          <w:sz w:val="30"/>
        </w:rPr>
      </w:pPr>
      <w:bookmarkStart w:id="2" w:name="八、资格审查资料"/>
      <w:bookmarkEnd w:id="2"/>
      <w:bookmarkStart w:id="3" w:name="（七）不拖欠农牧民工工资承诺函"/>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spacing w:line="600" w:lineRule="exact"/>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赤峰市红山区妇幼保健院迁建项目采暖管件采购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赤峰市红山区妇幼保健院迁建项目焊接钢管、角钢采购招标文件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赤峰市红山区妇幼保健院迁建项目焊接钢管、角钢采购招标文件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MwZDNmNzlkZmNiYzBmM2NkYzZiNjQ3YmRlMDYifQ=="/>
  </w:docVars>
  <w:rsids>
    <w:rsidRoot w:val="38086DE9"/>
    <w:rsid w:val="0013750B"/>
    <w:rsid w:val="001662F1"/>
    <w:rsid w:val="00281B4B"/>
    <w:rsid w:val="003D0405"/>
    <w:rsid w:val="00812794"/>
    <w:rsid w:val="008B703E"/>
    <w:rsid w:val="00E64944"/>
    <w:rsid w:val="00FD3E7E"/>
    <w:rsid w:val="02186A33"/>
    <w:rsid w:val="035E4919"/>
    <w:rsid w:val="060953ED"/>
    <w:rsid w:val="0657467F"/>
    <w:rsid w:val="07F02457"/>
    <w:rsid w:val="08167EB9"/>
    <w:rsid w:val="094A521D"/>
    <w:rsid w:val="0BC54B3A"/>
    <w:rsid w:val="0C627DC4"/>
    <w:rsid w:val="0D867C25"/>
    <w:rsid w:val="122F4DBC"/>
    <w:rsid w:val="13833F28"/>
    <w:rsid w:val="13BD568C"/>
    <w:rsid w:val="15C92A26"/>
    <w:rsid w:val="15D31197"/>
    <w:rsid w:val="17294122"/>
    <w:rsid w:val="17B934B5"/>
    <w:rsid w:val="18E03D7A"/>
    <w:rsid w:val="22956351"/>
    <w:rsid w:val="24C3737D"/>
    <w:rsid w:val="24F64473"/>
    <w:rsid w:val="25185CD2"/>
    <w:rsid w:val="26DA0E5B"/>
    <w:rsid w:val="297E44FC"/>
    <w:rsid w:val="2D3447B9"/>
    <w:rsid w:val="325356E2"/>
    <w:rsid w:val="32BE1591"/>
    <w:rsid w:val="33671216"/>
    <w:rsid w:val="34F82570"/>
    <w:rsid w:val="350C18A6"/>
    <w:rsid w:val="35932B6C"/>
    <w:rsid w:val="35B7717F"/>
    <w:rsid w:val="372B02C3"/>
    <w:rsid w:val="37A96951"/>
    <w:rsid w:val="38086DE9"/>
    <w:rsid w:val="3CAD4A1F"/>
    <w:rsid w:val="3FFC0B5D"/>
    <w:rsid w:val="41CC5035"/>
    <w:rsid w:val="45941E41"/>
    <w:rsid w:val="47E250E6"/>
    <w:rsid w:val="4857273A"/>
    <w:rsid w:val="48C40E54"/>
    <w:rsid w:val="4D1B4BD9"/>
    <w:rsid w:val="540E7263"/>
    <w:rsid w:val="547172C6"/>
    <w:rsid w:val="552F018E"/>
    <w:rsid w:val="55951FDB"/>
    <w:rsid w:val="55F04E72"/>
    <w:rsid w:val="57032983"/>
    <w:rsid w:val="575444EB"/>
    <w:rsid w:val="59892C39"/>
    <w:rsid w:val="59A3256C"/>
    <w:rsid w:val="5AB87F28"/>
    <w:rsid w:val="5BB74A9A"/>
    <w:rsid w:val="5BB93F58"/>
    <w:rsid w:val="5D7F6B24"/>
    <w:rsid w:val="5D9E6F62"/>
    <w:rsid w:val="5FEA7D08"/>
    <w:rsid w:val="601636C9"/>
    <w:rsid w:val="6142679E"/>
    <w:rsid w:val="62386C1F"/>
    <w:rsid w:val="687E7069"/>
    <w:rsid w:val="69BE438A"/>
    <w:rsid w:val="6AD44297"/>
    <w:rsid w:val="6B5B36E6"/>
    <w:rsid w:val="729C5E1B"/>
    <w:rsid w:val="73B77FAF"/>
    <w:rsid w:val="74411B05"/>
    <w:rsid w:val="74C94DB4"/>
    <w:rsid w:val="754655A5"/>
    <w:rsid w:val="78950B6B"/>
    <w:rsid w:val="78A0407E"/>
    <w:rsid w:val="78AB4358"/>
    <w:rsid w:val="78F244B0"/>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2886</Words>
  <Characters>3514</Characters>
  <Lines>33</Lines>
  <Paragraphs>9</Paragraphs>
  <TotalTime>44</TotalTime>
  <ScaleCrop>false</ScaleCrop>
  <LinksUpToDate>false</LinksUpToDate>
  <CharactersWithSpaces>3951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如风</cp:lastModifiedBy>
  <dcterms:modified xsi:type="dcterms:W3CDTF">2022-11-12T01:06:56Z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687319362FE545BD9CD8315881B27A94</vt:lpwstr>
  </property>
  <property fmtid="{D5CDD505-2E9C-101B-9397-08002B2CF9AE}" pid="4" name="commondata">
    <vt:lpwstr>eyJoZGlkIjoiZjg4N2QxY2U0NWE5MGY5MGNlMzVmYjc0ZGRhNTA3MGEifQ==</vt:lpwstr>
  </property>
</Properties>
</file>