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赤峰学院附属医院临床综合楼建设项目粘接砂浆、抹面砂浆采购招标公告</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default" w:eastAsia="微软雅黑"/>
          <w:spacing w:val="14"/>
          <w:lang w:val="en-US" w:eastAsia="zh-CN"/>
        </w:rPr>
      </w:pPr>
      <w:r>
        <w:rPr>
          <w:spacing w:val="14"/>
        </w:rPr>
        <w:t>招标项目编号：</w:t>
      </w:r>
      <w:r>
        <w:rPr>
          <w:rFonts w:hint="eastAsia"/>
          <w:spacing w:val="14"/>
          <w:lang w:val="en-US" w:eastAsia="zh-CN"/>
        </w:rPr>
        <w:t>ZYZBFSYY</w:t>
      </w:r>
      <w:r>
        <w:rPr>
          <w:rFonts w:hint="eastAsia"/>
          <w:spacing w:val="14"/>
          <w:lang w:val="en-US"/>
        </w:rPr>
        <w:t>202</w:t>
      </w:r>
      <w:r>
        <w:rPr>
          <w:rFonts w:hint="eastAsia"/>
          <w:spacing w:val="14"/>
          <w:lang w:val="en-US" w:eastAsia="zh-CN"/>
        </w:rPr>
        <w:t>30004</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eastAsia="zh-CN"/>
        </w:rPr>
        <w:t>三</w:t>
      </w:r>
      <w:r>
        <w:rPr>
          <w:rFonts w:hint="eastAsia" w:ascii="微软雅黑" w:eastAsia="微软雅黑"/>
          <w:b/>
          <w:sz w:val="31"/>
        </w:rPr>
        <w:t>年</w:t>
      </w:r>
      <w:r>
        <w:rPr>
          <w:rFonts w:hint="eastAsia" w:ascii="微软雅黑" w:eastAsia="微软雅黑"/>
          <w:b/>
          <w:sz w:val="31"/>
          <w:lang w:val="en-US" w:eastAsia="zh-CN"/>
        </w:rPr>
        <w:t>二</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赤峰学院附属医院临床综合楼建设项目粘接砂浆、抹面砂浆采购招标公告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w:t>
      </w:r>
      <w:r>
        <w:rPr>
          <w:rFonts w:hint="eastAsia" w:cs="宋体"/>
          <w:b/>
          <w:bCs/>
          <w:lang w:val="en-US" w:eastAsia="zh-CN"/>
        </w:rPr>
        <w:t>ZBFSYY</w:t>
      </w:r>
      <w:r>
        <w:rPr>
          <w:rFonts w:hint="eastAsia" w:ascii="宋体" w:hAnsi="宋体" w:eastAsia="宋体" w:cs="宋体"/>
          <w:b/>
          <w:bCs/>
          <w:spacing w:val="14"/>
          <w:w w:val="85"/>
          <w:lang w:val="en-US"/>
        </w:rPr>
        <w:t>202</w:t>
      </w:r>
      <w:r>
        <w:rPr>
          <w:rFonts w:hint="eastAsia" w:cs="宋体"/>
          <w:b/>
          <w:bCs/>
          <w:spacing w:val="14"/>
          <w:w w:val="85"/>
          <w:lang w:val="en-US" w:eastAsia="zh-CN"/>
        </w:rPr>
        <w:t>30004</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bookmarkStart w:id="9" w:name="_GoBack"/>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。赤峰学院附属医院临床综合楼建设项目已办理完毕施工许可证，具备施工条件。项目已具备招标条件，现对本项目</w:t>
      </w:r>
      <w:r>
        <w:rPr>
          <w:rFonts w:hint="eastAsia"/>
          <w:sz w:val="28"/>
          <w:szCs w:val="28"/>
          <w:lang w:eastAsia="zh-CN"/>
        </w:rPr>
        <w:t>粘接砂浆、抹面砂浆</w:t>
      </w:r>
      <w:r>
        <w:rPr>
          <w:rFonts w:hint="eastAsia"/>
          <w:sz w:val="28"/>
          <w:szCs w:val="28"/>
        </w:rPr>
        <w:t>材料采购进行公开招标。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lang w:val="en-US" w:eastAsia="zh-CN"/>
        </w:rPr>
        <w:t>公司</w:t>
      </w:r>
      <w:r>
        <w:rPr>
          <w:rFonts w:hint="eastAsia"/>
          <w:b/>
          <w:bCs/>
          <w:sz w:val="28"/>
          <w:szCs w:val="28"/>
        </w:rPr>
        <w:t>名称</w:t>
      </w:r>
      <w:r>
        <w:rPr>
          <w:rFonts w:hint="eastAsia"/>
          <w:sz w:val="28"/>
          <w:szCs w:val="28"/>
        </w:rPr>
        <w:t>：赤峰学院附属医院临床综合楼建设项目</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rPr>
        <w:t>标段名称</w:t>
      </w:r>
      <w:r>
        <w:rPr>
          <w:rFonts w:hint="eastAsia"/>
          <w:sz w:val="28"/>
          <w:szCs w:val="28"/>
        </w:rPr>
        <w:t>：赤峰学院附属医院临床综合楼建设项目</w:t>
      </w:r>
      <w:r>
        <w:rPr>
          <w:rFonts w:hint="eastAsia"/>
          <w:sz w:val="28"/>
          <w:szCs w:val="28"/>
          <w:lang w:eastAsia="zh-CN"/>
        </w:rPr>
        <w:t>粘接砂浆、抹面砂浆</w:t>
      </w:r>
      <w:r>
        <w:rPr>
          <w:rFonts w:hint="eastAsia"/>
          <w:sz w:val="28"/>
          <w:szCs w:val="28"/>
        </w:rPr>
        <w:t>材料采购</w:t>
      </w:r>
    </w:p>
    <w:p>
      <w:pPr>
        <w:spacing w:line="360" w:lineRule="auto"/>
        <w:ind w:firstLine="562" w:firstLineChars="200"/>
        <w:rPr>
          <w:rFonts w:hint="default"/>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sz w:val="28"/>
          <w:szCs w:val="28"/>
        </w:rPr>
        <w:t>：</w:t>
      </w:r>
      <w:r>
        <w:rPr>
          <w:rFonts w:hint="eastAsia"/>
          <w:sz w:val="28"/>
          <w:szCs w:val="28"/>
          <w:lang w:val="en-US"/>
        </w:rPr>
        <w:t>赤峰市新城区赤峰学院附属医院内</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工程规模：本工程总建筑面积75399.21平方米，其中地上医疗综合楼面积35899.21平方米，地下建筑面35900平方米，基底面积5695.45平方米</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服务范围：本项目工程施工图纸范围内的粘接砂浆、抹面砂浆材料采购</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服务期限：2023年5月1日前竣工（具体开工日期以合同签订日期为准）。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default"/>
          <w:b/>
          <w:bCs/>
          <w:sz w:val="28"/>
          <w:szCs w:val="28"/>
          <w:lang w:val="en-US" w:eastAsia="zh-CN"/>
        </w:rPr>
      </w:pPr>
      <w:r>
        <w:rPr>
          <w:rFonts w:hint="eastAsia"/>
          <w:b/>
          <w:bCs/>
          <w:sz w:val="28"/>
          <w:szCs w:val="28"/>
          <w:lang w:val="en-US" w:eastAsia="zh-CN"/>
        </w:rPr>
        <w:t>质量要求：</w:t>
      </w:r>
      <w:r>
        <w:rPr>
          <w:rFonts w:hint="eastAsia"/>
          <w:b w:val="0"/>
          <w:bCs w:val="0"/>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本项目采用资格后审方式，在开标后评标委员会按照招标文件规定的标准和方法对投标人的资格进行审查。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14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bookmarkEnd w:id="9"/>
    <w:p>
      <w:pP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br w:type="page"/>
      </w:r>
    </w:p>
    <w:p>
      <w:pPr>
        <w:rPr>
          <w:rFonts w:hint="eastAsia" w:ascii="微软雅黑" w:hAnsi="宋体" w:eastAsia="微软雅黑" w:cs="宋体"/>
          <w:b/>
          <w:sz w:val="31"/>
          <w:lang w:val="en-US" w:eastAsia="zh-CN"/>
        </w:rPr>
      </w:pPr>
    </w:p>
    <w:p>
      <w:pPr>
        <w:numPr>
          <w:ilvl w:val="0"/>
          <w:numId w:val="1"/>
        </w:num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 xml:space="preserve">  投标人须知</w:t>
      </w:r>
    </w:p>
    <w:p>
      <w:pPr>
        <w:numPr>
          <w:ilvl w:val="0"/>
          <w:numId w:val="0"/>
        </w:numPr>
        <w:spacing w:before="0" w:after="0" w:line="553" w:lineRule="exact"/>
        <w:ind w:right="17" w:rightChars="0"/>
        <w:jc w:val="both"/>
        <w:rPr>
          <w:rFonts w:hint="default" w:ascii="微软雅黑" w:hAnsi="宋体" w:eastAsia="微软雅黑" w:cs="宋体"/>
          <w:b/>
          <w:sz w:val="31"/>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19"/>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819"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631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6314"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314"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服务地点</w:t>
            </w:r>
          </w:p>
        </w:tc>
        <w:tc>
          <w:tcPr>
            <w:tcW w:w="6314" w:type="dxa"/>
            <w:vAlign w:val="center"/>
          </w:tcPr>
          <w:p>
            <w:pPr>
              <w:spacing w:line="360" w:lineRule="auto"/>
              <w:jc w:val="both"/>
              <w:rPr>
                <w:rFonts w:hint="default" w:ascii="宋体" w:hAnsi="宋体" w:eastAsia="宋体" w:cs="宋体"/>
                <w:spacing w:val="-1"/>
                <w:sz w:val="24"/>
                <w:szCs w:val="24"/>
                <w:lang w:val="en-US" w:eastAsia="zh-CN"/>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w:t>
            </w:r>
            <w:r>
              <w:rPr>
                <w:rFonts w:hint="eastAsia" w:ascii="宋体" w:hAnsi="宋体" w:eastAsia="宋体" w:cs="宋体"/>
                <w:sz w:val="24"/>
                <w:szCs w:val="24"/>
                <w:vertAlign w:val="baseline"/>
                <w:lang w:val="en-US" w:eastAsia="zh-CN"/>
              </w:rPr>
              <w:t>范围</w:t>
            </w:r>
          </w:p>
        </w:tc>
        <w:tc>
          <w:tcPr>
            <w:tcW w:w="6314" w:type="dxa"/>
          </w:tcPr>
          <w:p>
            <w:pPr>
              <w:spacing w:line="360" w:lineRule="auto"/>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本项目工程施工图纸范围内的</w:t>
            </w:r>
            <w:r>
              <w:rPr>
                <w:rFonts w:hint="eastAsia" w:cs="宋体"/>
                <w:sz w:val="24"/>
                <w:szCs w:val="24"/>
                <w:vertAlign w:val="baseline"/>
                <w:lang w:val="en-US" w:eastAsia="zh-CN"/>
              </w:rPr>
              <w:t>粘接砂浆、抹面砂浆</w:t>
            </w:r>
            <w:r>
              <w:rPr>
                <w:rFonts w:hint="default" w:ascii="宋体" w:hAnsi="宋体" w:eastAsia="宋体" w:cs="宋体"/>
                <w:sz w:val="24"/>
                <w:szCs w:val="24"/>
                <w:vertAlign w:val="baseline"/>
                <w:lang w:val="en-US" w:eastAsia="zh-CN"/>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highlight w:val="none"/>
                <w:vertAlign w:val="baseline"/>
                <w:lang w:val="en-US" w:eastAsia="zh-CN"/>
              </w:rPr>
              <w:t>质量</w:t>
            </w:r>
            <w:r>
              <w:rPr>
                <w:rFonts w:hint="eastAsia" w:ascii="宋体" w:hAnsi="宋体" w:eastAsia="宋体" w:cs="宋体"/>
                <w:sz w:val="24"/>
                <w:szCs w:val="24"/>
                <w:highlight w:val="none"/>
                <w:vertAlign w:val="baseline"/>
                <w:lang w:val="en-US" w:eastAsia="zh-CN"/>
              </w:rPr>
              <w:t>要求</w:t>
            </w:r>
          </w:p>
        </w:tc>
        <w:tc>
          <w:tcPr>
            <w:tcW w:w="6314" w:type="dxa"/>
            <w:vAlign w:val="top"/>
          </w:tcPr>
          <w:p>
            <w:pPr>
              <w:tabs>
                <w:tab w:val="left" w:pos="1388"/>
              </w:tabs>
              <w:spacing w:line="316" w:lineRule="auto"/>
              <w:ind w:right="468"/>
              <w:jc w:val="both"/>
            </w:pPr>
            <w:r>
              <w:rPr>
                <w:rFonts w:hint="eastAsia"/>
              </w:rPr>
              <w:t>符合</w:t>
            </w:r>
            <w:r>
              <w:t>JGJ144-2019</w:t>
            </w:r>
            <w:r>
              <w:rPr>
                <w:rFonts w:hint="eastAsia"/>
              </w:rPr>
              <w:t>《</w:t>
            </w:r>
            <w:r>
              <w:t>外墙外保温工程技术标准</w:t>
            </w:r>
            <w:r>
              <w:rPr>
                <w:rFonts w:hint="eastAsia"/>
              </w:rPr>
              <w:t>》中规定要求。</w:t>
            </w:r>
          </w:p>
          <w:p>
            <w:pPr>
              <w:tabs>
                <w:tab w:val="left" w:pos="1388"/>
              </w:tabs>
              <w:spacing w:line="316" w:lineRule="auto"/>
              <w:ind w:right="468"/>
              <w:jc w:val="both"/>
            </w:pPr>
            <w:r>
              <w:rPr>
                <w:rFonts w:hint="eastAsia"/>
              </w:rPr>
              <w:t>抹面胶浆性能要求：</w:t>
            </w:r>
          </w:p>
          <w:p>
            <w:pPr>
              <w:tabs>
                <w:tab w:val="left" w:pos="1388"/>
              </w:tabs>
              <w:spacing w:line="316" w:lineRule="auto"/>
              <w:ind w:right="468"/>
              <w:jc w:val="both"/>
              <w:rPr>
                <w:color w:val="FF0000"/>
                <w:sz w:val="24"/>
                <w:szCs w:val="24"/>
                <w:lang w:val="en-US"/>
              </w:rPr>
            </w:pPr>
            <w:r>
              <w:rPr>
                <w:color w:val="FF0000"/>
                <w:sz w:val="24"/>
                <w:szCs w:val="24"/>
                <w:lang w:val="en-US"/>
              </w:rPr>
              <w:drawing>
                <wp:inline distT="0" distB="0" distL="0" distR="0">
                  <wp:extent cx="3907155" cy="1542415"/>
                  <wp:effectExtent l="0" t="0" r="1714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07155" cy="1542415"/>
                          </a:xfrm>
                          <a:prstGeom prst="rect">
                            <a:avLst/>
                          </a:prstGeom>
                          <a:noFill/>
                          <a:ln>
                            <a:noFill/>
                          </a:ln>
                        </pic:spPr>
                      </pic:pic>
                    </a:graphicData>
                  </a:graphic>
                </wp:inline>
              </w:drawing>
            </w:r>
          </w:p>
          <w:p>
            <w:pPr>
              <w:tabs>
                <w:tab w:val="left" w:pos="1388"/>
              </w:tabs>
              <w:spacing w:line="316" w:lineRule="auto"/>
              <w:ind w:right="468"/>
              <w:jc w:val="both"/>
              <w:rPr>
                <w:color w:val="auto"/>
                <w:sz w:val="24"/>
                <w:szCs w:val="24"/>
                <w:lang w:val="en-US"/>
              </w:rPr>
            </w:pPr>
            <w:r>
              <w:rPr>
                <w:rFonts w:hint="eastAsia"/>
                <w:color w:val="auto"/>
                <w:sz w:val="24"/>
                <w:szCs w:val="24"/>
                <w:lang w:val="en-US"/>
              </w:rPr>
              <w:t>胶粘剂性能要求：</w:t>
            </w:r>
          </w:p>
          <w:p>
            <w:pPr>
              <w:numPr>
                <w:ilvl w:val="0"/>
                <w:numId w:val="0"/>
              </w:numPr>
              <w:tabs>
                <w:tab w:val="left" w:pos="1388"/>
              </w:tabs>
              <w:spacing w:line="360" w:lineRule="auto"/>
              <w:ind w:right="468" w:rightChars="0"/>
              <w:jc w:val="left"/>
              <w:rPr>
                <w:rFonts w:hint="default" w:ascii="宋体" w:hAnsi="宋体" w:eastAsia="宋体" w:cs="宋体"/>
                <w:sz w:val="24"/>
                <w:szCs w:val="24"/>
                <w:vertAlign w:val="baseline"/>
                <w:lang w:val="en-US" w:eastAsia="zh-CN" w:bidi="zh-CN"/>
              </w:rPr>
            </w:pPr>
            <w:r>
              <w:drawing>
                <wp:inline distT="0" distB="0" distL="0" distR="0">
                  <wp:extent cx="3822700" cy="1097280"/>
                  <wp:effectExtent l="0" t="0" r="635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3822700" cy="10972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w:t>
            </w:r>
            <w:r>
              <w:rPr>
                <w:rFonts w:hint="eastAsia" w:cs="宋体"/>
                <w:sz w:val="24"/>
                <w:szCs w:val="24"/>
                <w:vertAlign w:val="baseline"/>
                <w:lang w:val="en-US" w:eastAsia="zh-CN"/>
              </w:rPr>
              <w:t>3</w:t>
            </w:r>
            <w:r>
              <w:rPr>
                <w:rFonts w:hint="eastAsia" w:ascii="宋体" w:hAnsi="宋体" w:eastAsia="宋体" w:cs="宋体"/>
                <w:sz w:val="24"/>
                <w:szCs w:val="24"/>
                <w:vertAlign w:val="baseline"/>
                <w:lang w:val="en-US" w:eastAsia="zh-CN"/>
              </w:rPr>
              <w:t>年</w:t>
            </w:r>
            <w:r>
              <w:rPr>
                <w:rFonts w:hint="eastAsia" w:cs="宋体"/>
                <w:sz w:val="24"/>
                <w:szCs w:val="24"/>
                <w:vertAlign w:val="baseline"/>
                <w:lang w:val="en-US" w:eastAsia="zh-CN"/>
              </w:rPr>
              <w:t>2</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6314"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6314" w:type="dxa"/>
          </w:tcPr>
          <w:tbl>
            <w:tblPr>
              <w:tblStyle w:val="13"/>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22"/>
              <w:gridCol w:w="221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4"/>
                  <w:vAlign w:val="center"/>
                </w:tcPr>
                <w:p>
                  <w:pPr>
                    <w:ind w:left="840" w:firstLine="1080" w:firstLineChars="600"/>
                    <w:jc w:val="both"/>
                    <w:rPr>
                      <w:sz w:val="18"/>
                      <w:szCs w:val="18"/>
                      <w:lang w:val="en-US"/>
                    </w:rPr>
                  </w:pPr>
                  <w:r>
                    <w:rPr>
                      <w:rFonts w:hint="eastAsia"/>
                      <w:sz w:val="18"/>
                      <w:szCs w:val="18"/>
                      <w:lang w:val="en-US"/>
                    </w:rPr>
                    <w:t>付款方式（银行</w:t>
                  </w:r>
                  <w:r>
                    <w:rPr>
                      <w:rFonts w:hint="eastAsia"/>
                      <w:sz w:val="18"/>
                      <w:szCs w:val="18"/>
                      <w:lang w:val="en-US" w:eastAsia="zh-CN"/>
                    </w:rPr>
                    <w:t>承兑</w:t>
                  </w:r>
                  <w:r>
                    <w:rPr>
                      <w:rFonts w:hint="eastAsia"/>
                      <w:sz w:val="18"/>
                      <w:szCs w:val="18"/>
                      <w:lang w:val="en-US"/>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9" w:type="pct"/>
                  <w:vAlign w:val="center"/>
                </w:tcPr>
                <w:p>
                  <w:pPr>
                    <w:jc w:val="center"/>
                    <w:rPr>
                      <w:sz w:val="18"/>
                      <w:szCs w:val="18"/>
                      <w:lang w:val="en-US"/>
                    </w:rPr>
                  </w:pPr>
                  <w:r>
                    <w:rPr>
                      <w:rFonts w:hint="eastAsia"/>
                      <w:sz w:val="18"/>
                      <w:szCs w:val="18"/>
                      <w:lang w:val="en-US"/>
                    </w:rPr>
                    <w:t>年度（总比例）</w:t>
                  </w:r>
                </w:p>
              </w:tc>
              <w:tc>
                <w:tcPr>
                  <w:tcW w:w="537" w:type="pct"/>
                  <w:vAlign w:val="center"/>
                </w:tcPr>
                <w:p>
                  <w:pPr>
                    <w:tabs>
                      <w:tab w:val="left" w:pos="496"/>
                    </w:tabs>
                    <w:jc w:val="center"/>
                    <w:rPr>
                      <w:sz w:val="18"/>
                      <w:szCs w:val="18"/>
                      <w:lang w:val="en-US"/>
                    </w:rPr>
                  </w:pPr>
                  <w:r>
                    <w:rPr>
                      <w:rFonts w:hint="eastAsia"/>
                      <w:sz w:val="18"/>
                      <w:szCs w:val="18"/>
                      <w:lang w:val="en-US"/>
                    </w:rPr>
                    <w:t>付款节点</w:t>
                  </w:r>
                </w:p>
              </w:tc>
              <w:tc>
                <w:tcPr>
                  <w:tcW w:w="1915" w:type="pct"/>
                  <w:vAlign w:val="center"/>
                </w:tcPr>
                <w:p>
                  <w:pPr>
                    <w:jc w:val="center"/>
                    <w:rPr>
                      <w:sz w:val="18"/>
                      <w:szCs w:val="18"/>
                      <w:lang w:val="en-US"/>
                    </w:rPr>
                  </w:pPr>
                  <w:r>
                    <w:rPr>
                      <w:rFonts w:hint="eastAsia"/>
                      <w:sz w:val="18"/>
                      <w:szCs w:val="18"/>
                      <w:lang w:val="en-US"/>
                    </w:rPr>
                    <w:t>付款比例基数</w:t>
                  </w:r>
                </w:p>
                <w:p>
                  <w:pPr>
                    <w:jc w:val="center"/>
                    <w:rPr>
                      <w:sz w:val="18"/>
                      <w:szCs w:val="18"/>
                      <w:lang w:val="en-US"/>
                    </w:rPr>
                  </w:pPr>
                </w:p>
              </w:tc>
              <w:tc>
                <w:tcPr>
                  <w:tcW w:w="1088" w:type="pct"/>
                  <w:vAlign w:val="center"/>
                </w:tcPr>
                <w:p>
                  <w:pPr>
                    <w:ind w:firstLine="180" w:firstLineChars="100"/>
                    <w:jc w:val="both"/>
                    <w:rPr>
                      <w:sz w:val="18"/>
                      <w:szCs w:val="18"/>
                      <w:lang w:val="en-US"/>
                    </w:rPr>
                  </w:pPr>
                  <w:r>
                    <w:rPr>
                      <w:rFonts w:hint="eastAsia"/>
                      <w:sz w:val="18"/>
                      <w:szCs w:val="18"/>
                      <w:lang w:val="en-US"/>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59" w:type="pct"/>
                  <w:vMerge w:val="restart"/>
                  <w:vAlign w:val="center"/>
                </w:tcPr>
                <w:p>
                  <w:pPr>
                    <w:jc w:val="left"/>
                    <w:rPr>
                      <w:sz w:val="18"/>
                      <w:szCs w:val="18"/>
                      <w:lang w:val="en-US"/>
                    </w:rPr>
                  </w:pPr>
                  <w:r>
                    <w:rPr>
                      <w:rFonts w:hint="eastAsia"/>
                      <w:sz w:val="18"/>
                      <w:szCs w:val="18"/>
                      <w:lang w:val="en-US"/>
                    </w:rPr>
                    <w:t>供货年度（50％）</w:t>
                  </w:r>
                </w:p>
              </w:tc>
              <w:tc>
                <w:tcPr>
                  <w:tcW w:w="537" w:type="pct"/>
                  <w:vAlign w:val="center"/>
                </w:tcPr>
                <w:p>
                  <w:pPr>
                    <w:tabs>
                      <w:tab w:val="left" w:pos="496"/>
                    </w:tabs>
                    <w:jc w:val="center"/>
                    <w:rPr>
                      <w:sz w:val="18"/>
                      <w:szCs w:val="18"/>
                      <w:lang w:val="en-US"/>
                    </w:rPr>
                  </w:pPr>
                  <w:r>
                    <w:rPr>
                      <w:rFonts w:hint="eastAsia"/>
                      <w:sz w:val="18"/>
                      <w:szCs w:val="18"/>
                      <w:lang w:val="en-US"/>
                    </w:rPr>
                    <w:t>端午节</w:t>
                  </w:r>
                </w:p>
              </w:tc>
              <w:tc>
                <w:tcPr>
                  <w:tcW w:w="1915" w:type="pct"/>
                  <w:vAlign w:val="center"/>
                </w:tcPr>
                <w:p>
                  <w:pPr>
                    <w:jc w:val="both"/>
                    <w:rPr>
                      <w:sz w:val="18"/>
                      <w:szCs w:val="18"/>
                      <w:lang w:val="en-US"/>
                    </w:rPr>
                  </w:pPr>
                  <w:r>
                    <w:rPr>
                      <w:rFonts w:hint="eastAsia"/>
                      <w:sz w:val="18"/>
                      <w:szCs w:val="18"/>
                      <w:lang w:val="en-US"/>
                    </w:rPr>
                    <w:t>端午节之前发生货款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Align w:val="center"/>
                </w:tcPr>
                <w:p>
                  <w:pPr>
                    <w:jc w:val="center"/>
                    <w:rPr>
                      <w:sz w:val="18"/>
                      <w:szCs w:val="18"/>
                      <w:lang w:val="en-US"/>
                    </w:rPr>
                  </w:pPr>
                  <w:r>
                    <w:rPr>
                      <w:rFonts w:hint="eastAsia"/>
                      <w:sz w:val="18"/>
                      <w:szCs w:val="18"/>
                      <w:lang w:val="en-US"/>
                    </w:rPr>
                    <w:t>端午节至中秋节之间发生货款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Align w:val="center"/>
                </w:tcPr>
                <w:p>
                  <w:pPr>
                    <w:jc w:val="center"/>
                    <w:rPr>
                      <w:sz w:val="18"/>
                      <w:szCs w:val="18"/>
                      <w:lang w:val="en-US"/>
                    </w:rPr>
                  </w:pPr>
                  <w:r>
                    <w:rPr>
                      <w:rFonts w:hint="eastAsia"/>
                      <w:sz w:val="18"/>
                      <w:szCs w:val="18"/>
                      <w:lang w:val="en-US"/>
                    </w:rPr>
                    <w:t>中秋节至春节节之间发生货款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供货完毕</w:t>
                  </w:r>
                </w:p>
              </w:tc>
              <w:tc>
                <w:tcPr>
                  <w:tcW w:w="1915" w:type="pct"/>
                  <w:vAlign w:val="center"/>
                </w:tcPr>
                <w:p>
                  <w:pPr>
                    <w:jc w:val="center"/>
                    <w:rPr>
                      <w:sz w:val="18"/>
                      <w:szCs w:val="18"/>
                      <w:lang w:val="en-US"/>
                    </w:rPr>
                  </w:pPr>
                  <w:r>
                    <w:rPr>
                      <w:rFonts w:hint="eastAsia"/>
                      <w:sz w:val="18"/>
                      <w:szCs w:val="18"/>
                      <w:lang w:val="en-US"/>
                    </w:rPr>
                    <w:t>供货完毕上一个付款节点至供货完毕之间发生货款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360" w:hanging="360" w:hangingChars="200"/>
                    <w:jc w:val="left"/>
                    <w:rPr>
                      <w:sz w:val="18"/>
                      <w:szCs w:val="18"/>
                      <w:lang w:val="en-US"/>
                    </w:rPr>
                  </w:pPr>
                  <w:r>
                    <w:rPr>
                      <w:rFonts w:hint="eastAsia"/>
                      <w:sz w:val="18"/>
                      <w:szCs w:val="18"/>
                      <w:lang w:val="en-US"/>
                    </w:rPr>
                    <w:t>供货项目主体竣工后第一年（30％）</w:t>
                  </w:r>
                </w:p>
              </w:tc>
              <w:tc>
                <w:tcPr>
                  <w:tcW w:w="537" w:type="pct"/>
                  <w:vAlign w:val="center"/>
                </w:tcPr>
                <w:p>
                  <w:pPr>
                    <w:jc w:val="center"/>
                    <w:rPr>
                      <w:sz w:val="18"/>
                      <w:szCs w:val="18"/>
                      <w:lang w:val="en-US"/>
                    </w:rPr>
                  </w:pPr>
                  <w:r>
                    <w:rPr>
                      <w:rFonts w:hint="eastAsia"/>
                      <w:sz w:val="18"/>
                      <w:szCs w:val="18"/>
                      <w:lang w:val="en-US"/>
                    </w:rPr>
                    <w:t>端午节</w:t>
                  </w:r>
                </w:p>
              </w:tc>
              <w:tc>
                <w:tcPr>
                  <w:tcW w:w="1915" w:type="pct"/>
                  <w:vMerge w:val="restart"/>
                  <w:vAlign w:val="center"/>
                </w:tcPr>
                <w:p>
                  <w:pPr>
                    <w:jc w:val="center"/>
                    <w:rPr>
                      <w:sz w:val="18"/>
                      <w:szCs w:val="18"/>
                      <w:lang w:val="en-US"/>
                    </w:rPr>
                  </w:pPr>
                  <w:r>
                    <w:rPr>
                      <w:rFonts w:hint="eastAsia"/>
                      <w:sz w:val="18"/>
                      <w:szCs w:val="18"/>
                      <w:lang w:val="en-US"/>
                    </w:rPr>
                    <w:t>总货款</w:t>
                  </w: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360" w:hanging="360" w:hangingChars="200"/>
                    <w:jc w:val="left"/>
                    <w:rPr>
                      <w:sz w:val="18"/>
                      <w:szCs w:val="18"/>
                      <w:lang w:val="en-US"/>
                    </w:rPr>
                  </w:pPr>
                  <w:r>
                    <w:rPr>
                      <w:rFonts w:hint="eastAsia"/>
                      <w:sz w:val="18"/>
                      <w:szCs w:val="18"/>
                      <w:lang w:val="en-US"/>
                    </w:rPr>
                    <w:t>供货项目</w:t>
                  </w:r>
                  <w:r>
                    <w:rPr>
                      <w:rFonts w:hint="eastAsia"/>
                      <w:sz w:val="18"/>
                      <w:szCs w:val="18"/>
                      <w:lang w:val="en-US" w:eastAsia="zh-CN"/>
                    </w:rPr>
                    <w:t>主体</w:t>
                  </w:r>
                  <w:r>
                    <w:rPr>
                      <w:rFonts w:hint="eastAsia"/>
                      <w:sz w:val="18"/>
                      <w:szCs w:val="18"/>
                      <w:lang w:val="en-US"/>
                    </w:rPr>
                    <w:t>竣工后第二年（20％）</w:t>
                  </w:r>
                </w:p>
              </w:tc>
              <w:tc>
                <w:tcPr>
                  <w:tcW w:w="537" w:type="pct"/>
                  <w:vAlign w:val="center"/>
                </w:tcPr>
                <w:p>
                  <w:pPr>
                    <w:jc w:val="center"/>
                    <w:rPr>
                      <w:sz w:val="18"/>
                      <w:szCs w:val="18"/>
                      <w:lang w:val="en-US"/>
                    </w:rPr>
                  </w:pPr>
                  <w:r>
                    <w:rPr>
                      <w:rFonts w:hint="eastAsia"/>
                      <w:sz w:val="18"/>
                      <w:szCs w:val="18"/>
                      <w:lang w:val="en-US"/>
                    </w:rPr>
                    <w:t>端午节</w:t>
                  </w:r>
                </w:p>
              </w:tc>
              <w:tc>
                <w:tcPr>
                  <w:tcW w:w="1915" w:type="pct"/>
                  <w:vMerge w:val="restart"/>
                  <w:vAlign w:val="center"/>
                </w:tcPr>
                <w:p>
                  <w:pPr>
                    <w:jc w:val="center"/>
                    <w:rPr>
                      <w:sz w:val="18"/>
                      <w:szCs w:val="18"/>
                      <w:lang w:val="en-US"/>
                    </w:rPr>
                  </w:pPr>
                  <w:r>
                    <w:rPr>
                      <w:rFonts w:hint="eastAsia"/>
                      <w:sz w:val="18"/>
                      <w:szCs w:val="18"/>
                      <w:lang w:val="en-US"/>
                    </w:rPr>
                    <w:t>总货款</w:t>
                  </w:r>
                </w:p>
              </w:tc>
              <w:tc>
                <w:tcPr>
                  <w:tcW w:w="1088" w:type="pct"/>
                  <w:vAlign w:val="center"/>
                </w:tcPr>
                <w:p>
                  <w:pPr>
                    <w:ind w:firstLine="360" w:firstLineChars="200"/>
                    <w:jc w:val="both"/>
                    <w:rPr>
                      <w:sz w:val="18"/>
                      <w:szCs w:val="18"/>
                      <w:lang w:val="en-US"/>
                    </w:rPr>
                  </w:pPr>
                  <w:r>
                    <w:rPr>
                      <w:rFonts w:hint="eastAsia"/>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Align w:val="center"/>
                </w:tcPr>
                <w:p>
                  <w:pPr>
                    <w:jc w:val="left"/>
                    <w:rPr>
                      <w:sz w:val="18"/>
                      <w:szCs w:val="18"/>
                      <w:lang w:val="en-US"/>
                    </w:rPr>
                  </w:pPr>
                  <w:r>
                    <w:rPr>
                      <w:rFonts w:hint="eastAsia"/>
                      <w:sz w:val="18"/>
                      <w:szCs w:val="18"/>
                      <w:lang w:val="en-US"/>
                    </w:rPr>
                    <w:t>合计（100％）</w:t>
                  </w:r>
                </w:p>
              </w:tc>
              <w:tc>
                <w:tcPr>
                  <w:tcW w:w="537" w:type="pct"/>
                  <w:vAlign w:val="center"/>
                </w:tcPr>
                <w:p>
                  <w:pPr>
                    <w:jc w:val="center"/>
                    <w:rPr>
                      <w:sz w:val="18"/>
                      <w:szCs w:val="18"/>
                      <w:lang w:val="en-US"/>
                    </w:rPr>
                  </w:pPr>
                </w:p>
              </w:tc>
              <w:tc>
                <w:tcPr>
                  <w:tcW w:w="1915" w:type="pct"/>
                  <w:vAlign w:val="center"/>
                </w:tcPr>
                <w:p>
                  <w:pPr>
                    <w:jc w:val="center"/>
                    <w:rPr>
                      <w:sz w:val="18"/>
                      <w:szCs w:val="18"/>
                      <w:lang w:val="en-US"/>
                    </w:rPr>
                  </w:pPr>
                </w:p>
              </w:tc>
              <w:tc>
                <w:tcPr>
                  <w:tcW w:w="1088" w:type="pct"/>
                  <w:vAlign w:val="center"/>
                </w:tcPr>
                <w:p>
                  <w:pPr>
                    <w:ind w:firstLine="360" w:firstLineChars="200"/>
                    <w:jc w:val="center"/>
                    <w:rPr>
                      <w:sz w:val="18"/>
                      <w:szCs w:val="18"/>
                      <w:lang w:val="en-US"/>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6314"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1819"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6314"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6314"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sz w:val="24"/>
                <w:szCs w:val="24"/>
                <w:lang w:val="en-US" w:eastAsia="zh-CN"/>
              </w:rPr>
            </w:pPr>
            <w:r>
              <w:rPr>
                <w:rFonts w:hint="eastAsia"/>
                <w:b/>
                <w:bCs/>
                <w:sz w:val="24"/>
                <w:szCs w:val="24"/>
                <w:lang w:val="en-US" w:eastAsia="zh-CN"/>
              </w:rPr>
              <w:t>投标文件名称格式为：附属医院粘接砂浆、抹面砂浆采购+投标人名称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eastAsia"/>
          <w:b/>
          <w:sz w:val="44"/>
          <w:szCs w:val="44"/>
          <w:lang w:val="en-US"/>
        </w:rPr>
      </w:pPr>
      <w:bookmarkStart w:id="0" w:name="第二章__投标人须知"/>
      <w:bookmarkEnd w:id="0"/>
      <w:bookmarkStart w:id="1" w:name="一、投标函及投标函附录"/>
      <w:bookmarkEnd w:id="1"/>
      <w:r>
        <w:rPr>
          <w:rFonts w:hint="eastAsia"/>
          <w:b/>
          <w:sz w:val="44"/>
          <w:szCs w:val="44"/>
          <w:lang w:val="en-US"/>
        </w:rPr>
        <w:br w:type="page"/>
      </w:r>
    </w:p>
    <w:p>
      <w:pPr>
        <w:spacing w:before="0" w:after="0" w:line="553" w:lineRule="exact"/>
        <w:ind w:right="17"/>
        <w:jc w:val="center"/>
        <w:rPr>
          <w:rFonts w:hint="eastAsia" w:ascii="微软雅黑" w:hAnsi="宋体" w:eastAsia="微软雅黑" w:cs="宋体"/>
          <w:b/>
          <w:sz w:val="31"/>
          <w:lang w:val="en-US" w:eastAsia="zh-CN"/>
        </w:rPr>
      </w:pPr>
    </w:p>
    <w:p>
      <w:p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rPr>
        <w:t>赤峰学院附属医院临床综合楼建设项目</w:t>
      </w:r>
      <w:r>
        <w:rPr>
          <w:rFonts w:hint="eastAsia"/>
          <w:sz w:val="28"/>
          <w:szCs w:val="28"/>
          <w:lang w:val="en-US" w:eastAsia="zh-CN"/>
        </w:rPr>
        <w:t>粘接砂浆、抹面砂浆</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每一次粘接砂浆、抹面砂浆</w:t>
      </w:r>
      <w:r>
        <w:rPr>
          <w:rFonts w:hint="eastAsia"/>
          <w:color w:val="000000" w:themeColor="text1"/>
          <w:sz w:val="28"/>
          <w:szCs w:val="28"/>
          <w:lang w:val="en-US" w:eastAsia="zh-CN"/>
          <w14:textFill>
            <w14:solidFill>
              <w14:schemeClr w14:val="tx1"/>
            </w14:solidFill>
          </w14:textFill>
        </w:rPr>
        <w:t>供应，</w:t>
      </w:r>
      <w:r>
        <w:rPr>
          <w:rFonts w:hint="eastAsia"/>
          <w:sz w:val="28"/>
          <w:szCs w:val="28"/>
        </w:rPr>
        <w:t>确保产品数量及质量。</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赤峰学院附属医院临床综合楼建设项目</w:t>
      </w:r>
      <w:r>
        <w:rPr>
          <w:rFonts w:hint="eastAsia"/>
          <w:sz w:val="28"/>
          <w:szCs w:val="28"/>
          <w:lang w:val="en-US" w:eastAsia="zh-CN"/>
        </w:rPr>
        <w:t>粘接砂浆、抹面砂浆</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r>
        <w:br w:type="page"/>
      </w:r>
    </w:p>
    <w:p>
      <w:pPr>
        <w:spacing w:line="480" w:lineRule="auto"/>
        <w:jc w:val="both"/>
        <w:rPr>
          <w:rFonts w:hint="eastAsia"/>
          <w:b/>
          <w:bCs/>
          <w:sz w:val="32"/>
          <w:szCs w:val="32"/>
          <w:lang w:val="en-US" w:eastAsia="zh-CN"/>
        </w:rPr>
      </w:pPr>
    </w:p>
    <w:p>
      <w:pPr>
        <w:spacing w:line="480" w:lineRule="auto"/>
        <w:jc w:val="center"/>
        <w:rPr>
          <w:rFonts w:hint="eastAsia"/>
          <w:b/>
          <w:bCs/>
          <w:sz w:val="32"/>
          <w:szCs w:val="32"/>
        </w:rPr>
      </w:pPr>
      <w:r>
        <w:rPr>
          <w:rFonts w:hint="eastAsia"/>
          <w:b/>
          <w:bCs/>
          <w:sz w:val="32"/>
          <w:szCs w:val="32"/>
          <w:lang w:val="en-US" w:eastAsia="zh-CN"/>
        </w:rPr>
        <w:t>粘接砂浆、抹面砂浆</w:t>
      </w:r>
      <w:r>
        <w:rPr>
          <w:rFonts w:hint="eastAsia"/>
          <w:b/>
          <w:bCs/>
          <w:sz w:val="32"/>
          <w:szCs w:val="32"/>
        </w:rPr>
        <w:t>报价单</w:t>
      </w:r>
    </w:p>
    <w:tbl>
      <w:tblPr>
        <w:tblStyle w:val="12"/>
        <w:tblpPr w:leftFromText="180" w:rightFromText="180" w:vertAnchor="text" w:horzAnchor="page" w:tblpX="2031" w:tblpY="213"/>
        <w:tblOverlap w:val="never"/>
        <w:tblW w:w="8112" w:type="dxa"/>
        <w:tblInd w:w="0" w:type="dxa"/>
        <w:tblLayout w:type="fixed"/>
        <w:tblCellMar>
          <w:top w:w="0" w:type="dxa"/>
          <w:left w:w="108" w:type="dxa"/>
          <w:bottom w:w="0" w:type="dxa"/>
          <w:right w:w="108" w:type="dxa"/>
        </w:tblCellMar>
      </w:tblPr>
      <w:tblGrid>
        <w:gridCol w:w="1150"/>
        <w:gridCol w:w="1550"/>
        <w:gridCol w:w="1400"/>
        <w:gridCol w:w="987"/>
        <w:gridCol w:w="1288"/>
        <w:gridCol w:w="1737"/>
      </w:tblGrid>
      <w:tr>
        <w:tblPrEx>
          <w:tblCellMar>
            <w:top w:w="0" w:type="dxa"/>
            <w:left w:w="108" w:type="dxa"/>
            <w:bottom w:w="0" w:type="dxa"/>
            <w:right w:w="108" w:type="dxa"/>
          </w:tblCellMar>
        </w:tblPrEx>
        <w:trPr>
          <w:trHeight w:val="85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物料名称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规格型号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需求数量</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85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粘接砂浆</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40KG/袋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bidi="ar"/>
              </w:rPr>
              <w:t>120</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85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抹面砂浆</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40KG/袋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bidi="ar"/>
              </w:rPr>
              <w:t>220</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hint="default"/>
          <w:b/>
          <w:bCs/>
          <w:sz w:val="28"/>
          <w:szCs w:val="28"/>
          <w:lang w:val="en-US" w:eastAsia="zh-CN"/>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赤峰学院附属医院临床综合楼建设项目粘接砂浆、抹面砂浆采购招标文件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赤峰学院附属医院临床综合楼建设项目粘接砂浆、抹面砂浆采购招标文件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7C67"/>
    <w:multiLevelType w:val="singleLevel"/>
    <w:tmpl w:val="59017C6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4D44B97"/>
    <w:rsid w:val="06347A43"/>
    <w:rsid w:val="06440B14"/>
    <w:rsid w:val="07F02457"/>
    <w:rsid w:val="08402281"/>
    <w:rsid w:val="0E2172AA"/>
    <w:rsid w:val="10DE798C"/>
    <w:rsid w:val="113066EB"/>
    <w:rsid w:val="11A12D97"/>
    <w:rsid w:val="122F4DBC"/>
    <w:rsid w:val="130701F8"/>
    <w:rsid w:val="135A5EEF"/>
    <w:rsid w:val="13C91A36"/>
    <w:rsid w:val="156823C4"/>
    <w:rsid w:val="16864B17"/>
    <w:rsid w:val="17DA7CD1"/>
    <w:rsid w:val="18E03D7A"/>
    <w:rsid w:val="1A223C28"/>
    <w:rsid w:val="21E44B88"/>
    <w:rsid w:val="23100139"/>
    <w:rsid w:val="26DA0E5B"/>
    <w:rsid w:val="27D0445D"/>
    <w:rsid w:val="27EA3888"/>
    <w:rsid w:val="281A18FF"/>
    <w:rsid w:val="297E44FC"/>
    <w:rsid w:val="298C4E6A"/>
    <w:rsid w:val="2BCF3D57"/>
    <w:rsid w:val="2CE31C7E"/>
    <w:rsid w:val="30862E5A"/>
    <w:rsid w:val="353335A8"/>
    <w:rsid w:val="35B7717F"/>
    <w:rsid w:val="35FE6A03"/>
    <w:rsid w:val="38086DE9"/>
    <w:rsid w:val="381946E1"/>
    <w:rsid w:val="381B56B5"/>
    <w:rsid w:val="383C459B"/>
    <w:rsid w:val="3CB50CBA"/>
    <w:rsid w:val="3D1C7FCA"/>
    <w:rsid w:val="3D5A204A"/>
    <w:rsid w:val="3E0013C5"/>
    <w:rsid w:val="403B3BE9"/>
    <w:rsid w:val="41471584"/>
    <w:rsid w:val="46CD560B"/>
    <w:rsid w:val="47395648"/>
    <w:rsid w:val="4A626B76"/>
    <w:rsid w:val="4B574E69"/>
    <w:rsid w:val="4B921AE9"/>
    <w:rsid w:val="4CA67D92"/>
    <w:rsid w:val="4D1B4BD9"/>
    <w:rsid w:val="4E2A05A4"/>
    <w:rsid w:val="4E9354D1"/>
    <w:rsid w:val="51D13AD5"/>
    <w:rsid w:val="52BE3AD4"/>
    <w:rsid w:val="531E3DE3"/>
    <w:rsid w:val="55951FDB"/>
    <w:rsid w:val="562F1D40"/>
    <w:rsid w:val="56EF1C52"/>
    <w:rsid w:val="573E3EB0"/>
    <w:rsid w:val="59610B2C"/>
    <w:rsid w:val="59892C39"/>
    <w:rsid w:val="5A964B15"/>
    <w:rsid w:val="5CB3212F"/>
    <w:rsid w:val="65544930"/>
    <w:rsid w:val="66E94FBA"/>
    <w:rsid w:val="67862298"/>
    <w:rsid w:val="67F76A80"/>
    <w:rsid w:val="682A4EB5"/>
    <w:rsid w:val="694D0401"/>
    <w:rsid w:val="699301F4"/>
    <w:rsid w:val="69BE438A"/>
    <w:rsid w:val="6A1A3B7D"/>
    <w:rsid w:val="6B246DE4"/>
    <w:rsid w:val="6B7D28AC"/>
    <w:rsid w:val="6D56468D"/>
    <w:rsid w:val="71C810B2"/>
    <w:rsid w:val="73E6032E"/>
    <w:rsid w:val="75E632B8"/>
    <w:rsid w:val="76C40C48"/>
    <w:rsid w:val="78C0450C"/>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paragraph" w:customStyle="1" w:styleId="17">
    <w:name w:val="其他"/>
    <w:basedOn w:val="1"/>
    <w:qFormat/>
    <w:uiPriority w:val="0"/>
    <w:pPr>
      <w:shd w:val="clear" w:color="auto" w:fill="FFFFFF"/>
      <w:autoSpaceDE/>
      <w:autoSpaceDN/>
      <w:spacing w:after="380" w:line="480" w:lineRule="auto"/>
      <w:ind w:firstLine="130"/>
    </w:pPr>
    <w:rPr>
      <w:rFonts w:ascii="MingLiU" w:hAnsi="MingLiU" w:eastAsia="MingLiU" w:cs="MingLiU"/>
      <w:sz w:val="28"/>
      <w:szCs w:val="28"/>
    </w:rPr>
  </w:style>
  <w:style w:type="character" w:customStyle="1" w:styleId="18">
    <w:name w:val="ql-font-microsoftyahei"/>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2053</Words>
  <Characters>2259</Characters>
  <Lines>0</Lines>
  <Paragraphs>0</Paragraphs>
  <TotalTime>1</TotalTime>
  <ScaleCrop>false</ScaleCrop>
  <LinksUpToDate>false</LinksUpToDate>
  <CharactersWithSpaces>2648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2023-02-11T03:15:59Z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